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400" w:type="pct"/>
        <w:tblInd w:w="-459" w:type="dxa"/>
        <w:tblLook w:val="04A0" w:firstRow="1" w:lastRow="0" w:firstColumn="1" w:lastColumn="0" w:noHBand="0" w:noVBand="1"/>
      </w:tblPr>
      <w:tblGrid>
        <w:gridCol w:w="10741"/>
        <w:gridCol w:w="4323"/>
      </w:tblGrid>
      <w:tr w:rsidR="004B1A38" w:rsidRPr="0096572A" w14:paraId="0252826A" w14:textId="77777777" w:rsidTr="00433889">
        <w:tc>
          <w:tcPr>
            <w:tcW w:w="3565" w:type="pct"/>
            <w:vAlign w:val="center"/>
          </w:tcPr>
          <w:p w14:paraId="0222D396" w14:textId="1D1DEFFE" w:rsidR="004B1A38" w:rsidRPr="0096572A" w:rsidRDefault="004B1A38" w:rsidP="00433889">
            <w:pPr>
              <w:rPr>
                <w:rFonts w:cs="Arial"/>
                <w:b/>
              </w:rPr>
            </w:pPr>
            <w:r w:rsidRPr="00FC5540">
              <w:rPr>
                <w:b/>
                <w:sz w:val="44"/>
              </w:rPr>
              <w:t>Polling Districts, Places and Stations Review 20</w:t>
            </w:r>
            <w:r w:rsidR="00782382">
              <w:rPr>
                <w:b/>
                <w:sz w:val="44"/>
              </w:rPr>
              <w:t>24</w:t>
            </w:r>
          </w:p>
        </w:tc>
        <w:tc>
          <w:tcPr>
            <w:tcW w:w="1435" w:type="pct"/>
            <w:shd w:val="clear" w:color="auto" w:fill="000000" w:themeFill="text1"/>
            <w:vAlign w:val="center"/>
          </w:tcPr>
          <w:p w14:paraId="0D1BE5FB" w14:textId="77777777" w:rsidR="004B1A38" w:rsidRPr="0096572A" w:rsidRDefault="004B1A38" w:rsidP="00433889">
            <w:pPr>
              <w:jc w:val="center"/>
              <w:rPr>
                <w:rFonts w:cs="Arial"/>
              </w:rPr>
            </w:pPr>
            <w:r w:rsidRPr="0096572A">
              <w:rPr>
                <w:rFonts w:cs="Arial"/>
                <w:noProof/>
                <w:lang w:eastAsia="en-GB"/>
              </w:rPr>
              <w:drawing>
                <wp:inline distT="0" distB="0" distL="0" distR="0" wp14:anchorId="7100FB17" wp14:editId="6813DAD0">
                  <wp:extent cx="2381250" cy="7810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2381250" cy="781050"/>
                          </a:xfrm>
                          <a:prstGeom prst="rect">
                            <a:avLst/>
                          </a:prstGeom>
                        </pic:spPr>
                      </pic:pic>
                    </a:graphicData>
                  </a:graphic>
                </wp:inline>
              </w:drawing>
            </w:r>
          </w:p>
        </w:tc>
      </w:tr>
    </w:tbl>
    <w:p w14:paraId="5AD41CE3" w14:textId="77777777" w:rsidR="00077BF9" w:rsidRDefault="00077BF9" w:rsidP="00077BF9">
      <w:pPr>
        <w:spacing w:after="0" w:line="240" w:lineRule="auto"/>
        <w:rPr>
          <w:rFonts w:ascii="Arial" w:hAnsi="Arial" w:cs="Arial"/>
        </w:rPr>
      </w:pPr>
    </w:p>
    <w:p w14:paraId="16651FE3" w14:textId="1EE236D9" w:rsidR="00077BF9" w:rsidRPr="00FB37C2" w:rsidRDefault="008D0BF5" w:rsidP="00FB37C2">
      <w:pPr>
        <w:spacing w:after="0" w:line="240" w:lineRule="auto"/>
        <w:ind w:left="-426"/>
        <w:rPr>
          <w:rFonts w:ascii="Arial" w:hAnsi="Arial" w:cs="Arial"/>
          <w:b/>
          <w:bCs/>
          <w:sz w:val="28"/>
          <w:szCs w:val="28"/>
        </w:rPr>
      </w:pPr>
      <w:r w:rsidRPr="008D0BF5">
        <w:rPr>
          <w:rFonts w:ascii="Arial" w:hAnsi="Arial" w:cs="Arial"/>
          <w:b/>
          <w:bCs/>
          <w:sz w:val="28"/>
          <w:szCs w:val="28"/>
        </w:rPr>
        <w:t>Trinity</w:t>
      </w:r>
      <w:r w:rsidR="00077BF9" w:rsidRPr="005F68C1">
        <w:rPr>
          <w:rFonts w:ascii="Arial" w:hAnsi="Arial" w:cs="Arial"/>
          <w:b/>
          <w:bCs/>
          <w:sz w:val="28"/>
          <w:szCs w:val="28"/>
        </w:rPr>
        <w:t xml:space="preserve"> Ward</w:t>
      </w:r>
    </w:p>
    <w:tbl>
      <w:tblPr>
        <w:tblW w:w="5400" w:type="pct"/>
        <w:tblInd w:w="-459" w:type="dxa"/>
        <w:tblLook w:val="04A0" w:firstRow="1" w:lastRow="0" w:firstColumn="1" w:lastColumn="0" w:noHBand="0" w:noVBand="1"/>
      </w:tblPr>
      <w:tblGrid>
        <w:gridCol w:w="1297"/>
        <w:gridCol w:w="2529"/>
        <w:gridCol w:w="1856"/>
        <w:gridCol w:w="4920"/>
        <w:gridCol w:w="4462"/>
      </w:tblGrid>
      <w:tr w:rsidR="00BD72D1" w:rsidRPr="0096572A" w14:paraId="132FEFFA" w14:textId="77777777" w:rsidTr="00B41F7A">
        <w:trPr>
          <w:trHeight w:val="645"/>
          <w:tblHeader/>
        </w:trPr>
        <w:tc>
          <w:tcPr>
            <w:tcW w:w="430" w:type="pct"/>
            <w:tcBorders>
              <w:top w:val="single" w:sz="4" w:space="0" w:color="auto"/>
              <w:left w:val="single" w:sz="4" w:space="0" w:color="auto"/>
              <w:bottom w:val="single" w:sz="4" w:space="0" w:color="auto"/>
              <w:right w:val="single" w:sz="4" w:space="0" w:color="auto"/>
            </w:tcBorders>
            <w:shd w:val="clear" w:color="000000" w:fill="000000"/>
            <w:vAlign w:val="center"/>
            <w:hideMark/>
          </w:tcPr>
          <w:p w14:paraId="73043423" w14:textId="77777777" w:rsidR="00533F1E" w:rsidRPr="00533F1E" w:rsidRDefault="00533F1E" w:rsidP="00553A5F">
            <w:pPr>
              <w:spacing w:after="0" w:line="240" w:lineRule="auto"/>
              <w:jc w:val="center"/>
              <w:rPr>
                <w:rFonts w:ascii="Arial" w:eastAsia="Times New Roman" w:hAnsi="Arial" w:cs="Arial"/>
                <w:b/>
                <w:bCs/>
                <w:color w:val="FFFFFF"/>
                <w:lang w:eastAsia="en-GB"/>
              </w:rPr>
            </w:pPr>
            <w:bookmarkStart w:id="0" w:name="RANGE!B1:E43"/>
            <w:r w:rsidRPr="00533F1E">
              <w:rPr>
                <w:rFonts w:ascii="Arial" w:eastAsia="Times New Roman" w:hAnsi="Arial" w:cs="Arial"/>
                <w:b/>
                <w:bCs/>
                <w:color w:val="FFFFFF"/>
                <w:lang w:eastAsia="en-GB"/>
              </w:rPr>
              <w:t>Date</w:t>
            </w:r>
            <w:bookmarkEnd w:id="0"/>
          </w:p>
        </w:tc>
        <w:tc>
          <w:tcPr>
            <w:tcW w:w="839" w:type="pct"/>
            <w:tcBorders>
              <w:top w:val="single" w:sz="4" w:space="0" w:color="auto"/>
              <w:left w:val="nil"/>
              <w:bottom w:val="single" w:sz="4" w:space="0" w:color="auto"/>
              <w:right w:val="single" w:sz="4" w:space="0" w:color="auto"/>
            </w:tcBorders>
            <w:shd w:val="clear" w:color="000000" w:fill="000000"/>
            <w:vAlign w:val="center"/>
            <w:hideMark/>
          </w:tcPr>
          <w:p w14:paraId="03510AF2" w14:textId="77777777" w:rsidR="00533F1E" w:rsidRPr="00533F1E" w:rsidRDefault="00533F1E" w:rsidP="00553A5F">
            <w:pPr>
              <w:spacing w:after="0" w:line="240" w:lineRule="auto"/>
              <w:jc w:val="center"/>
              <w:rPr>
                <w:rFonts w:ascii="Arial" w:eastAsia="Times New Roman" w:hAnsi="Arial" w:cs="Arial"/>
                <w:b/>
                <w:bCs/>
                <w:color w:val="FFFFFF"/>
                <w:lang w:eastAsia="en-GB"/>
              </w:rPr>
            </w:pPr>
            <w:r w:rsidRPr="00533F1E">
              <w:rPr>
                <w:rFonts w:ascii="Arial" w:eastAsia="Times New Roman" w:hAnsi="Arial" w:cs="Arial"/>
                <w:b/>
                <w:bCs/>
                <w:color w:val="FFFFFF"/>
                <w:lang w:eastAsia="en-GB"/>
              </w:rPr>
              <w:t>Polling Station</w:t>
            </w:r>
          </w:p>
        </w:tc>
        <w:tc>
          <w:tcPr>
            <w:tcW w:w="616" w:type="pct"/>
            <w:tcBorders>
              <w:top w:val="single" w:sz="4" w:space="0" w:color="auto"/>
              <w:left w:val="nil"/>
              <w:bottom w:val="single" w:sz="4" w:space="0" w:color="auto"/>
              <w:right w:val="single" w:sz="4" w:space="0" w:color="auto"/>
            </w:tcBorders>
            <w:shd w:val="clear" w:color="000000" w:fill="000000"/>
            <w:vAlign w:val="center"/>
            <w:hideMark/>
          </w:tcPr>
          <w:p w14:paraId="571D8C80" w14:textId="77777777" w:rsidR="00533F1E" w:rsidRPr="00533F1E" w:rsidRDefault="00533F1E" w:rsidP="00553A5F">
            <w:pPr>
              <w:spacing w:after="0" w:line="240" w:lineRule="auto"/>
              <w:jc w:val="center"/>
              <w:rPr>
                <w:rFonts w:ascii="Arial" w:eastAsia="Times New Roman" w:hAnsi="Arial" w:cs="Arial"/>
                <w:b/>
                <w:bCs/>
                <w:color w:val="FFFFFF"/>
                <w:lang w:eastAsia="en-GB"/>
              </w:rPr>
            </w:pPr>
            <w:r w:rsidRPr="00533F1E">
              <w:rPr>
                <w:rFonts w:ascii="Arial" w:eastAsia="Times New Roman" w:hAnsi="Arial" w:cs="Arial"/>
                <w:b/>
                <w:bCs/>
                <w:color w:val="FFFFFF"/>
                <w:lang w:eastAsia="en-GB"/>
              </w:rPr>
              <w:t>Ward</w:t>
            </w:r>
          </w:p>
        </w:tc>
        <w:tc>
          <w:tcPr>
            <w:tcW w:w="1633" w:type="pct"/>
            <w:tcBorders>
              <w:top w:val="single" w:sz="4" w:space="0" w:color="auto"/>
              <w:left w:val="nil"/>
              <w:bottom w:val="single" w:sz="4" w:space="0" w:color="auto"/>
              <w:right w:val="single" w:sz="4" w:space="0" w:color="auto"/>
            </w:tcBorders>
            <w:shd w:val="clear" w:color="000000" w:fill="000000"/>
            <w:vAlign w:val="center"/>
            <w:hideMark/>
          </w:tcPr>
          <w:p w14:paraId="23A3F940" w14:textId="77777777" w:rsidR="00533F1E" w:rsidRPr="00533F1E" w:rsidRDefault="00533F1E" w:rsidP="00553A5F">
            <w:pPr>
              <w:spacing w:after="0" w:line="240" w:lineRule="auto"/>
              <w:jc w:val="center"/>
              <w:rPr>
                <w:rFonts w:ascii="Arial" w:eastAsia="Times New Roman" w:hAnsi="Arial" w:cs="Arial"/>
                <w:b/>
                <w:bCs/>
                <w:color w:val="FFFFFF"/>
                <w:lang w:eastAsia="en-GB"/>
              </w:rPr>
            </w:pPr>
            <w:r w:rsidRPr="00533F1E">
              <w:rPr>
                <w:rFonts w:ascii="Arial" w:eastAsia="Times New Roman" w:hAnsi="Arial" w:cs="Arial"/>
                <w:b/>
                <w:bCs/>
                <w:color w:val="FFFFFF"/>
                <w:lang w:eastAsia="en-GB"/>
              </w:rPr>
              <w:t>Comment</w:t>
            </w:r>
            <w:r w:rsidR="009311E5">
              <w:rPr>
                <w:rFonts w:ascii="Arial" w:eastAsia="Times New Roman" w:hAnsi="Arial" w:cs="Arial"/>
                <w:b/>
                <w:bCs/>
                <w:color w:val="FFFFFF"/>
                <w:lang w:eastAsia="en-GB"/>
              </w:rPr>
              <w:t>s</w:t>
            </w:r>
          </w:p>
        </w:tc>
        <w:tc>
          <w:tcPr>
            <w:tcW w:w="1481" w:type="pct"/>
            <w:tcBorders>
              <w:top w:val="single" w:sz="4" w:space="0" w:color="auto"/>
              <w:left w:val="nil"/>
              <w:bottom w:val="single" w:sz="4" w:space="0" w:color="auto"/>
              <w:right w:val="single" w:sz="4" w:space="0" w:color="auto"/>
            </w:tcBorders>
            <w:shd w:val="clear" w:color="000000" w:fill="000000"/>
            <w:vAlign w:val="center"/>
            <w:hideMark/>
          </w:tcPr>
          <w:p w14:paraId="649DC232" w14:textId="77777777" w:rsidR="00533F1E" w:rsidRPr="00533F1E" w:rsidRDefault="00533F1E" w:rsidP="00553A5F">
            <w:pPr>
              <w:spacing w:after="0" w:line="240" w:lineRule="auto"/>
              <w:jc w:val="center"/>
              <w:rPr>
                <w:rFonts w:ascii="Arial" w:eastAsia="Times New Roman" w:hAnsi="Arial" w:cs="Arial"/>
                <w:b/>
                <w:bCs/>
                <w:color w:val="FFFFFF"/>
                <w:lang w:eastAsia="en-GB"/>
              </w:rPr>
            </w:pPr>
            <w:r w:rsidRPr="00533F1E">
              <w:rPr>
                <w:rFonts w:ascii="Arial" w:eastAsia="Times New Roman" w:hAnsi="Arial" w:cs="Arial"/>
                <w:b/>
                <w:bCs/>
                <w:color w:val="FFFFFF"/>
                <w:lang w:eastAsia="en-GB"/>
              </w:rPr>
              <w:t>Acting Returning Officer's comments</w:t>
            </w:r>
          </w:p>
        </w:tc>
      </w:tr>
      <w:tr w:rsidR="00B0680D" w:rsidRPr="0096572A" w14:paraId="1D109821"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31160E4E" w14:textId="46C8836C" w:rsidR="00B0680D" w:rsidRPr="00533F1E" w:rsidRDefault="00964DAD"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09/09/24</w:t>
            </w:r>
          </w:p>
        </w:tc>
        <w:tc>
          <w:tcPr>
            <w:tcW w:w="839" w:type="pct"/>
            <w:tcBorders>
              <w:top w:val="nil"/>
              <w:left w:val="nil"/>
              <w:bottom w:val="single" w:sz="4" w:space="0" w:color="auto"/>
              <w:right w:val="single" w:sz="4" w:space="0" w:color="auto"/>
            </w:tcBorders>
            <w:shd w:val="clear" w:color="auto" w:fill="auto"/>
          </w:tcPr>
          <w:p w14:paraId="362FA0ED" w14:textId="30722929" w:rsidR="00B0680D" w:rsidRPr="00533F1E" w:rsidRDefault="00964DAD"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Dorcas Centre </w:t>
            </w:r>
          </w:p>
        </w:tc>
        <w:tc>
          <w:tcPr>
            <w:tcW w:w="616" w:type="pct"/>
            <w:tcBorders>
              <w:top w:val="nil"/>
              <w:left w:val="nil"/>
              <w:bottom w:val="single" w:sz="4" w:space="0" w:color="auto"/>
              <w:right w:val="single" w:sz="4" w:space="0" w:color="auto"/>
            </w:tcBorders>
            <w:shd w:val="clear" w:color="auto" w:fill="auto"/>
          </w:tcPr>
          <w:p w14:paraId="5C3D6EBA" w14:textId="62C8EFC2" w:rsidR="00B0680D" w:rsidRPr="00533F1E" w:rsidRDefault="00964DAD"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Trinity </w:t>
            </w:r>
          </w:p>
        </w:tc>
        <w:tc>
          <w:tcPr>
            <w:tcW w:w="1633" w:type="pct"/>
            <w:tcBorders>
              <w:top w:val="nil"/>
              <w:left w:val="nil"/>
              <w:bottom w:val="single" w:sz="4" w:space="0" w:color="auto"/>
              <w:right w:val="single" w:sz="4" w:space="0" w:color="auto"/>
            </w:tcBorders>
            <w:shd w:val="clear" w:color="auto" w:fill="auto"/>
          </w:tcPr>
          <w:p w14:paraId="699771E8" w14:textId="77777777" w:rsidR="00B0680D" w:rsidRDefault="00964DAD" w:rsidP="00B0680D">
            <w:pPr>
              <w:spacing w:after="0" w:line="240" w:lineRule="auto"/>
              <w:rPr>
                <w:rFonts w:ascii="Arial" w:eastAsia="Times New Roman" w:hAnsi="Arial" w:cs="Arial"/>
                <w:color w:val="000000"/>
                <w:lang w:eastAsia="en-GB"/>
              </w:rPr>
            </w:pPr>
            <w:r w:rsidRPr="00964DAD">
              <w:rPr>
                <w:rFonts w:ascii="Arial" w:eastAsia="Times New Roman" w:hAnsi="Arial" w:cs="Arial"/>
                <w:color w:val="000000"/>
                <w:lang w:eastAsia="en-GB"/>
              </w:rPr>
              <w:t xml:space="preserve">When my children were younger and were going to Two Gates Primary school and it would be closed for elections that there was other places where they could have used different venues and at the same time that my address even though I live in Two Gates I didn't vote there and had to go to </w:t>
            </w:r>
            <w:proofErr w:type="gramStart"/>
            <w:r w:rsidRPr="00964DAD">
              <w:rPr>
                <w:rFonts w:ascii="Arial" w:eastAsia="Times New Roman" w:hAnsi="Arial" w:cs="Arial"/>
                <w:color w:val="000000"/>
                <w:lang w:eastAsia="en-GB"/>
              </w:rPr>
              <w:t>Dosthill .</w:t>
            </w:r>
            <w:proofErr w:type="gramEnd"/>
          </w:p>
          <w:p w14:paraId="141ABF6F" w14:textId="77777777" w:rsidR="00964DAD" w:rsidRDefault="00964DAD" w:rsidP="00B0680D">
            <w:pPr>
              <w:spacing w:after="0" w:line="240" w:lineRule="auto"/>
              <w:rPr>
                <w:rFonts w:ascii="Arial" w:eastAsia="Times New Roman" w:hAnsi="Arial" w:cs="Arial"/>
                <w:color w:val="000000"/>
                <w:lang w:eastAsia="en-GB"/>
              </w:rPr>
            </w:pPr>
          </w:p>
          <w:p w14:paraId="5769D1AA" w14:textId="4CE622DB" w:rsidR="00964DAD" w:rsidRDefault="00964DAD" w:rsidP="00B0680D">
            <w:pPr>
              <w:spacing w:after="0" w:line="240" w:lineRule="auto"/>
              <w:rPr>
                <w:rFonts w:ascii="Arial" w:eastAsia="Times New Roman" w:hAnsi="Arial" w:cs="Arial"/>
                <w:b/>
                <w:bCs/>
                <w:color w:val="000000"/>
                <w:lang w:eastAsia="en-GB"/>
              </w:rPr>
            </w:pPr>
            <w:r w:rsidRPr="00964DAD">
              <w:rPr>
                <w:rFonts w:ascii="Arial" w:eastAsia="Times New Roman" w:hAnsi="Arial" w:cs="Arial"/>
                <w:b/>
                <w:bCs/>
                <w:color w:val="000000"/>
                <w:lang w:eastAsia="en-GB"/>
              </w:rPr>
              <w:t>What is your alternative option (if any) to the above polling station(s)?</w:t>
            </w:r>
            <w:r>
              <w:rPr>
                <w:rFonts w:ascii="Arial" w:eastAsia="Times New Roman" w:hAnsi="Arial" w:cs="Arial"/>
                <w:b/>
                <w:bCs/>
                <w:color w:val="000000"/>
                <w:lang w:eastAsia="en-GB"/>
              </w:rPr>
              <w:t xml:space="preserve"> </w:t>
            </w:r>
            <w:r w:rsidRPr="00964DAD">
              <w:rPr>
                <w:rFonts w:ascii="Arial" w:eastAsia="Times New Roman" w:hAnsi="Arial" w:cs="Arial"/>
                <w:color w:val="000000"/>
                <w:lang w:eastAsia="en-GB"/>
              </w:rPr>
              <w:t xml:space="preserve">Instead of the school at Two Gates I would use the Tamworth Community Hub And </w:t>
            </w:r>
            <w:proofErr w:type="gramStart"/>
            <w:r w:rsidRPr="00964DAD">
              <w:rPr>
                <w:rFonts w:ascii="Arial" w:eastAsia="Times New Roman" w:hAnsi="Arial" w:cs="Arial"/>
                <w:color w:val="000000"/>
                <w:lang w:eastAsia="en-GB"/>
              </w:rPr>
              <w:t>Masjid ,Greatmead</w:t>
            </w:r>
            <w:proofErr w:type="gramEnd"/>
            <w:r w:rsidRPr="00964DAD">
              <w:rPr>
                <w:rFonts w:ascii="Arial" w:eastAsia="Times New Roman" w:hAnsi="Arial" w:cs="Arial"/>
                <w:color w:val="000000"/>
                <w:lang w:eastAsia="en-GB"/>
              </w:rPr>
              <w:t xml:space="preserve"> ,Kettlebrook ,B77 1DL. For the Dorcas centre I cannot think of anywhere which is as suitable as the Dorcas centre.</w:t>
            </w:r>
          </w:p>
          <w:p w14:paraId="3BCDAC1D" w14:textId="0080C628" w:rsidR="00964DAD" w:rsidRPr="00964DAD" w:rsidRDefault="00964DAD" w:rsidP="00B0680D">
            <w:pPr>
              <w:spacing w:after="0" w:line="240" w:lineRule="auto"/>
              <w:rPr>
                <w:rFonts w:ascii="Arial" w:eastAsia="Times New Roman" w:hAnsi="Arial" w:cs="Arial"/>
                <w:b/>
                <w:bCs/>
                <w:color w:val="000000"/>
                <w:lang w:eastAsia="en-GB"/>
              </w:rPr>
            </w:pPr>
          </w:p>
        </w:tc>
        <w:tc>
          <w:tcPr>
            <w:tcW w:w="1481" w:type="pct"/>
            <w:tcBorders>
              <w:top w:val="nil"/>
              <w:left w:val="nil"/>
              <w:bottom w:val="single" w:sz="4" w:space="0" w:color="auto"/>
              <w:right w:val="single" w:sz="4" w:space="0" w:color="auto"/>
            </w:tcBorders>
            <w:shd w:val="clear" w:color="auto" w:fill="auto"/>
          </w:tcPr>
          <w:p w14:paraId="5AB798B9" w14:textId="010B52C6" w:rsidR="006732A7" w:rsidRDefault="000F2DD1" w:rsidP="006732A7">
            <w:pPr>
              <w:spacing w:after="0" w:line="240" w:lineRule="auto"/>
              <w:rPr>
                <w:rFonts w:ascii="Arial" w:hAnsi="Arial" w:cs="Arial"/>
              </w:rPr>
            </w:pPr>
            <w:r>
              <w:rPr>
                <w:rFonts w:ascii="Arial" w:hAnsi="Arial" w:cs="Arial"/>
              </w:rPr>
              <w:t>School</w:t>
            </w:r>
            <w:r w:rsidR="006732A7" w:rsidRPr="0096572A">
              <w:rPr>
                <w:rFonts w:ascii="Arial" w:hAnsi="Arial" w:cs="Arial"/>
              </w:rPr>
              <w:t xml:space="preserve">s are informed of scheduled polls several years in advance thus allowing ample time to plan for a Teacher Training Inset Day. This should help keep disruption and inconvenience to a minimum. Whilst </w:t>
            </w:r>
            <w:r>
              <w:rPr>
                <w:rFonts w:ascii="Arial" w:hAnsi="Arial" w:cs="Arial"/>
              </w:rPr>
              <w:t>school</w:t>
            </w:r>
            <w:r w:rsidR="006732A7" w:rsidRPr="0096572A">
              <w:rPr>
                <w:rFonts w:ascii="Arial" w:hAnsi="Arial" w:cs="Arial"/>
              </w:rPr>
              <w:t xml:space="preserve">s must provide the Returning Officer with a suitable room to facilitate voting it is not the Returning Officer who chooses to close the school. This is a decision taken by the </w:t>
            </w:r>
            <w:r>
              <w:rPr>
                <w:rFonts w:ascii="Arial" w:hAnsi="Arial" w:cs="Arial"/>
              </w:rPr>
              <w:t>school</w:t>
            </w:r>
            <w:r w:rsidR="006732A7">
              <w:rPr>
                <w:rFonts w:ascii="Arial" w:hAnsi="Arial" w:cs="Arial"/>
              </w:rPr>
              <w:t xml:space="preserve">. Lakeside Primary School, like several other schools </w:t>
            </w:r>
            <w:r w:rsidR="006732A7" w:rsidRPr="0096572A">
              <w:rPr>
                <w:rFonts w:ascii="Arial" w:hAnsi="Arial" w:cs="Arial"/>
              </w:rPr>
              <w:t xml:space="preserve">used as polling stations throughout the borough remain either fully or partially open on polling days. </w:t>
            </w:r>
          </w:p>
          <w:p w14:paraId="506AD217" w14:textId="77777777" w:rsidR="006732A7" w:rsidRDefault="006732A7" w:rsidP="006732A7">
            <w:pPr>
              <w:spacing w:after="0" w:line="240" w:lineRule="auto"/>
              <w:rPr>
                <w:rFonts w:ascii="Arial" w:hAnsi="Arial" w:cs="Arial"/>
              </w:rPr>
            </w:pPr>
          </w:p>
          <w:p w14:paraId="701D9648" w14:textId="2D0A90E0" w:rsidR="006732A7" w:rsidRDefault="006732A7" w:rsidP="006732A7">
            <w:pPr>
              <w:spacing w:after="0" w:line="240" w:lineRule="auto"/>
              <w:rPr>
                <w:rFonts w:ascii="Arial" w:eastAsia="Times New Roman" w:hAnsi="Arial" w:cs="Arial"/>
                <w:color w:val="000000"/>
                <w:lang w:eastAsia="en-GB"/>
              </w:rPr>
            </w:pPr>
            <w:r w:rsidRPr="0096572A">
              <w:rPr>
                <w:rFonts w:ascii="Arial" w:hAnsi="Arial" w:cs="Arial"/>
              </w:rPr>
              <w:t xml:space="preserve">Schools are required under statute to be made available for voting purposes. This is partly because as a public building the access must meet all requirements set out in the Equality Act 2010. </w:t>
            </w:r>
            <w:r>
              <w:rPr>
                <w:rFonts w:ascii="Arial" w:hAnsi="Arial" w:cs="Arial"/>
              </w:rPr>
              <w:t>Accessibility for disabled</w:t>
            </w:r>
            <w:r w:rsidRPr="0096572A">
              <w:rPr>
                <w:rFonts w:ascii="Arial" w:hAnsi="Arial" w:cs="Arial"/>
              </w:rPr>
              <w:t xml:space="preserve"> voters is a very important issue and ensuring that polling stations are suitable for all sorts of disability is essential. </w:t>
            </w:r>
            <w:r>
              <w:rPr>
                <w:rFonts w:ascii="Arial" w:hAnsi="Arial" w:cs="Arial"/>
              </w:rPr>
              <w:t xml:space="preserve">Statistics state that </w:t>
            </w:r>
            <w:r w:rsidRPr="0096572A">
              <w:rPr>
                <w:rFonts w:ascii="Arial" w:hAnsi="Arial" w:cs="Arial"/>
              </w:rPr>
              <w:t xml:space="preserve">there are approximately 7,000 people within the borough who have mobility issues and an unknown number of people with other impediments. We must be very careful about not accidentally disenfranchising an elector as they are unable to access voting </w:t>
            </w:r>
            <w:r w:rsidRPr="0096572A">
              <w:rPr>
                <w:rFonts w:ascii="Arial" w:hAnsi="Arial" w:cs="Arial"/>
              </w:rPr>
              <w:lastRenderedPageBreak/>
              <w:t xml:space="preserve">facilities easily. Section 16 of the Electoral Administration Act 2006 has placed a requirement on the local authority to review the accessibility of all polling stations. A review is undertaken at every poll and a polling station questionnaire is available for completion by electors. No complaints have been received at any of the recent elections regarding accessibility </w:t>
            </w:r>
            <w:r>
              <w:rPr>
                <w:rFonts w:ascii="Arial" w:hAnsi="Arial" w:cs="Arial"/>
              </w:rPr>
              <w:t>at this venue</w:t>
            </w:r>
            <w:r w:rsidRPr="0096572A">
              <w:rPr>
                <w:rFonts w:ascii="Arial" w:hAnsi="Arial" w:cs="Arial"/>
              </w:rPr>
              <w:t>. Therefore, no changes are proposed</w:t>
            </w:r>
            <w:r>
              <w:rPr>
                <w:rFonts w:ascii="Arial" w:hAnsi="Arial" w:cs="Arial"/>
              </w:rPr>
              <w:t>.</w:t>
            </w:r>
          </w:p>
          <w:p w14:paraId="4215D5CB" w14:textId="77777777" w:rsidR="006732A7" w:rsidRDefault="006732A7" w:rsidP="00B0680D">
            <w:pPr>
              <w:spacing w:after="0" w:line="240" w:lineRule="auto"/>
              <w:rPr>
                <w:rFonts w:ascii="Arial" w:eastAsia="Times New Roman" w:hAnsi="Arial" w:cs="Arial"/>
                <w:color w:val="000000"/>
                <w:lang w:eastAsia="en-GB"/>
              </w:rPr>
            </w:pPr>
          </w:p>
          <w:p w14:paraId="5C50A681" w14:textId="064551E8" w:rsidR="00B0680D" w:rsidRPr="00533F1E" w:rsidRDefault="006732A7" w:rsidP="00B0680D">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Park Farm Community, Greatmead is not within the Trinity ward and is already </w:t>
            </w:r>
            <w:r w:rsidR="00662877">
              <w:rPr>
                <w:rFonts w:ascii="Arial" w:eastAsia="Times New Roman" w:hAnsi="Arial" w:cs="Arial"/>
                <w:color w:val="000000"/>
                <w:lang w:eastAsia="en-GB"/>
              </w:rPr>
              <w:t>utilised</w:t>
            </w:r>
            <w:r>
              <w:rPr>
                <w:rFonts w:ascii="Arial" w:eastAsia="Times New Roman" w:hAnsi="Arial" w:cs="Arial"/>
                <w:color w:val="000000"/>
                <w:lang w:eastAsia="en-GB"/>
              </w:rPr>
              <w:t xml:space="preserve"> as a polling station for the BE4 polling district which is part of the Belgrave Ward. </w:t>
            </w:r>
          </w:p>
        </w:tc>
      </w:tr>
      <w:tr w:rsidR="00B0680D" w:rsidRPr="0096572A" w14:paraId="1A059BA3"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20A8E7BB" w14:textId="74756CA0" w:rsidR="00B0680D" w:rsidRPr="00533F1E" w:rsidRDefault="00B0680D" w:rsidP="00B0680D">
            <w:pPr>
              <w:spacing w:after="0" w:line="240" w:lineRule="auto"/>
              <w:rPr>
                <w:rFonts w:ascii="Arial" w:eastAsia="Times New Roman" w:hAnsi="Arial" w:cs="Arial"/>
                <w:color w:val="000000"/>
                <w:lang w:eastAsia="en-GB"/>
              </w:rPr>
            </w:pPr>
          </w:p>
        </w:tc>
        <w:tc>
          <w:tcPr>
            <w:tcW w:w="839" w:type="pct"/>
            <w:tcBorders>
              <w:top w:val="nil"/>
              <w:left w:val="nil"/>
              <w:bottom w:val="single" w:sz="4" w:space="0" w:color="auto"/>
              <w:right w:val="single" w:sz="4" w:space="0" w:color="auto"/>
            </w:tcBorders>
            <w:shd w:val="clear" w:color="auto" w:fill="auto"/>
          </w:tcPr>
          <w:p w14:paraId="0ACEBE30" w14:textId="57FBDDB6" w:rsidR="00B0680D" w:rsidRPr="00533F1E" w:rsidRDefault="00B0680D" w:rsidP="00B0680D">
            <w:pPr>
              <w:spacing w:after="0" w:line="240" w:lineRule="auto"/>
              <w:rPr>
                <w:rFonts w:ascii="Arial" w:eastAsia="Times New Roman" w:hAnsi="Arial" w:cs="Arial"/>
                <w:color w:val="000000"/>
                <w:lang w:eastAsia="en-GB"/>
              </w:rPr>
            </w:pPr>
          </w:p>
        </w:tc>
        <w:tc>
          <w:tcPr>
            <w:tcW w:w="616" w:type="pct"/>
            <w:tcBorders>
              <w:top w:val="nil"/>
              <w:left w:val="nil"/>
              <w:bottom w:val="single" w:sz="4" w:space="0" w:color="auto"/>
              <w:right w:val="single" w:sz="4" w:space="0" w:color="auto"/>
            </w:tcBorders>
            <w:shd w:val="clear" w:color="auto" w:fill="auto"/>
          </w:tcPr>
          <w:p w14:paraId="3862F554" w14:textId="63ABFC53" w:rsidR="00B0680D" w:rsidRPr="00533F1E" w:rsidRDefault="00B0680D" w:rsidP="00B0680D">
            <w:pPr>
              <w:spacing w:after="0" w:line="240" w:lineRule="auto"/>
              <w:rPr>
                <w:rFonts w:ascii="Arial" w:eastAsia="Times New Roman" w:hAnsi="Arial" w:cs="Arial"/>
                <w:color w:val="000000"/>
                <w:lang w:eastAsia="en-GB"/>
              </w:rPr>
            </w:pPr>
          </w:p>
        </w:tc>
        <w:tc>
          <w:tcPr>
            <w:tcW w:w="1633" w:type="pct"/>
            <w:tcBorders>
              <w:top w:val="nil"/>
              <w:left w:val="nil"/>
              <w:bottom w:val="single" w:sz="4" w:space="0" w:color="auto"/>
              <w:right w:val="single" w:sz="4" w:space="0" w:color="auto"/>
            </w:tcBorders>
            <w:shd w:val="clear" w:color="auto" w:fill="auto"/>
          </w:tcPr>
          <w:p w14:paraId="476A72B4" w14:textId="02C89294" w:rsidR="00B0680D" w:rsidRPr="00533F1E" w:rsidRDefault="00B0680D" w:rsidP="00B0680D">
            <w:pPr>
              <w:spacing w:after="0" w:line="240" w:lineRule="auto"/>
              <w:rPr>
                <w:rFonts w:ascii="Arial" w:eastAsia="Times New Roman" w:hAnsi="Arial" w:cs="Arial"/>
                <w:color w:val="000000"/>
                <w:lang w:eastAsia="en-GB"/>
              </w:rPr>
            </w:pPr>
          </w:p>
        </w:tc>
        <w:tc>
          <w:tcPr>
            <w:tcW w:w="1481" w:type="pct"/>
            <w:tcBorders>
              <w:top w:val="nil"/>
              <w:left w:val="nil"/>
              <w:bottom w:val="single" w:sz="4" w:space="0" w:color="auto"/>
              <w:right w:val="single" w:sz="4" w:space="0" w:color="auto"/>
            </w:tcBorders>
            <w:shd w:val="clear" w:color="auto" w:fill="auto"/>
          </w:tcPr>
          <w:p w14:paraId="512F2E07" w14:textId="70944283" w:rsidR="00B0680D" w:rsidRPr="00533F1E" w:rsidRDefault="00B0680D" w:rsidP="00B0680D">
            <w:pPr>
              <w:spacing w:after="0" w:line="240" w:lineRule="auto"/>
              <w:rPr>
                <w:rFonts w:ascii="Arial" w:eastAsia="Times New Roman" w:hAnsi="Arial" w:cs="Arial"/>
                <w:color w:val="000000"/>
                <w:lang w:eastAsia="en-GB"/>
              </w:rPr>
            </w:pPr>
          </w:p>
        </w:tc>
      </w:tr>
      <w:tr w:rsidR="00B0680D" w:rsidRPr="0096572A" w14:paraId="2FCCF53C" w14:textId="77777777" w:rsidTr="00782382">
        <w:trPr>
          <w:trHeight w:val="778"/>
        </w:trPr>
        <w:tc>
          <w:tcPr>
            <w:tcW w:w="430" w:type="pct"/>
            <w:tcBorders>
              <w:top w:val="nil"/>
              <w:left w:val="single" w:sz="4" w:space="0" w:color="auto"/>
              <w:bottom w:val="single" w:sz="4" w:space="0" w:color="auto"/>
              <w:right w:val="single" w:sz="4" w:space="0" w:color="auto"/>
            </w:tcBorders>
            <w:shd w:val="clear" w:color="auto" w:fill="auto"/>
          </w:tcPr>
          <w:p w14:paraId="548DF801" w14:textId="38F1A401" w:rsidR="00B0680D" w:rsidRPr="00533F1E" w:rsidRDefault="00B0680D" w:rsidP="00B0680D">
            <w:pPr>
              <w:spacing w:after="0" w:line="240" w:lineRule="auto"/>
              <w:rPr>
                <w:rFonts w:ascii="Arial" w:eastAsia="Times New Roman" w:hAnsi="Arial" w:cs="Arial"/>
                <w:color w:val="000000"/>
                <w:lang w:eastAsia="en-GB"/>
              </w:rPr>
            </w:pPr>
          </w:p>
        </w:tc>
        <w:tc>
          <w:tcPr>
            <w:tcW w:w="839" w:type="pct"/>
            <w:tcBorders>
              <w:top w:val="nil"/>
              <w:left w:val="nil"/>
              <w:bottom w:val="single" w:sz="4" w:space="0" w:color="auto"/>
              <w:right w:val="single" w:sz="4" w:space="0" w:color="auto"/>
            </w:tcBorders>
            <w:shd w:val="clear" w:color="auto" w:fill="auto"/>
          </w:tcPr>
          <w:p w14:paraId="65701FEB" w14:textId="3A3907EB" w:rsidR="00B0680D" w:rsidRPr="00533F1E" w:rsidRDefault="00B0680D" w:rsidP="00B0680D">
            <w:pPr>
              <w:spacing w:after="0" w:line="240" w:lineRule="auto"/>
              <w:rPr>
                <w:rFonts w:ascii="Arial" w:eastAsia="Times New Roman" w:hAnsi="Arial" w:cs="Arial"/>
                <w:color w:val="000000"/>
                <w:lang w:eastAsia="en-GB"/>
              </w:rPr>
            </w:pPr>
          </w:p>
        </w:tc>
        <w:tc>
          <w:tcPr>
            <w:tcW w:w="616" w:type="pct"/>
            <w:tcBorders>
              <w:top w:val="nil"/>
              <w:left w:val="nil"/>
              <w:bottom w:val="single" w:sz="4" w:space="0" w:color="auto"/>
              <w:right w:val="single" w:sz="4" w:space="0" w:color="auto"/>
            </w:tcBorders>
            <w:shd w:val="clear" w:color="auto" w:fill="auto"/>
          </w:tcPr>
          <w:p w14:paraId="1985673F" w14:textId="7034F21C" w:rsidR="00B0680D" w:rsidRPr="00533F1E" w:rsidRDefault="00B0680D" w:rsidP="00B0680D">
            <w:pPr>
              <w:spacing w:after="0" w:line="240" w:lineRule="auto"/>
              <w:rPr>
                <w:rFonts w:ascii="Arial" w:eastAsia="Times New Roman" w:hAnsi="Arial" w:cs="Arial"/>
                <w:color w:val="000000"/>
                <w:lang w:eastAsia="en-GB"/>
              </w:rPr>
            </w:pPr>
          </w:p>
        </w:tc>
        <w:tc>
          <w:tcPr>
            <w:tcW w:w="1633" w:type="pct"/>
            <w:tcBorders>
              <w:top w:val="nil"/>
              <w:left w:val="nil"/>
              <w:bottom w:val="single" w:sz="4" w:space="0" w:color="auto"/>
              <w:right w:val="single" w:sz="4" w:space="0" w:color="auto"/>
            </w:tcBorders>
            <w:shd w:val="clear" w:color="auto" w:fill="auto"/>
          </w:tcPr>
          <w:p w14:paraId="2DD68C71" w14:textId="1CFB4FE6" w:rsidR="00B0680D" w:rsidRPr="00533F1E" w:rsidRDefault="00B0680D" w:rsidP="00B0680D">
            <w:pPr>
              <w:spacing w:after="0" w:line="240" w:lineRule="auto"/>
              <w:rPr>
                <w:rFonts w:ascii="Arial" w:eastAsia="Times New Roman" w:hAnsi="Arial" w:cs="Arial"/>
                <w:color w:val="000000"/>
                <w:lang w:eastAsia="en-GB"/>
              </w:rPr>
            </w:pPr>
          </w:p>
        </w:tc>
        <w:tc>
          <w:tcPr>
            <w:tcW w:w="1481" w:type="pct"/>
            <w:tcBorders>
              <w:top w:val="nil"/>
              <w:left w:val="nil"/>
              <w:bottom w:val="single" w:sz="4" w:space="0" w:color="auto"/>
              <w:right w:val="single" w:sz="4" w:space="0" w:color="auto"/>
            </w:tcBorders>
            <w:shd w:val="clear" w:color="auto" w:fill="auto"/>
          </w:tcPr>
          <w:p w14:paraId="60657882" w14:textId="7BBD01CF" w:rsidR="00B0680D" w:rsidRPr="00533F1E" w:rsidRDefault="00B0680D" w:rsidP="00B0680D">
            <w:pPr>
              <w:spacing w:after="0" w:line="240" w:lineRule="auto"/>
              <w:rPr>
                <w:rFonts w:ascii="Arial" w:hAnsi="Arial" w:cs="Arial"/>
              </w:rPr>
            </w:pPr>
          </w:p>
        </w:tc>
      </w:tr>
    </w:tbl>
    <w:p w14:paraId="30B8A447" w14:textId="77777777" w:rsidR="00782382" w:rsidRDefault="00782382" w:rsidP="00553A5F">
      <w:pPr>
        <w:spacing w:after="0" w:line="240" w:lineRule="auto"/>
        <w:rPr>
          <w:rFonts w:ascii="Arial" w:eastAsia="Times New Roman" w:hAnsi="Arial" w:cs="Arial"/>
          <w:color w:val="000000"/>
          <w:lang w:eastAsia="en-GB"/>
        </w:rPr>
      </w:pPr>
    </w:p>
    <w:p w14:paraId="07EFE04F" w14:textId="77777777" w:rsidR="00782382" w:rsidRPr="0096572A" w:rsidRDefault="00782382" w:rsidP="00553A5F">
      <w:pPr>
        <w:spacing w:after="0" w:line="240" w:lineRule="auto"/>
        <w:rPr>
          <w:rFonts w:ascii="Arial" w:hAnsi="Arial" w:cs="Arial"/>
        </w:rPr>
      </w:pPr>
    </w:p>
    <w:sectPr w:rsidR="00782382" w:rsidRPr="0096572A" w:rsidSect="00081050">
      <w:footerReference w:type="default" r:id="rId8"/>
      <w:pgSz w:w="16838" w:h="11906" w:orient="landscape"/>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50BBF" w14:textId="77777777" w:rsidR="008F6E0F" w:rsidRDefault="008F6E0F" w:rsidP="00D7532E">
      <w:pPr>
        <w:spacing w:after="0" w:line="240" w:lineRule="auto"/>
      </w:pPr>
      <w:r>
        <w:separator/>
      </w:r>
    </w:p>
  </w:endnote>
  <w:endnote w:type="continuationSeparator" w:id="0">
    <w:p w14:paraId="0F98BB73" w14:textId="77777777" w:rsidR="008F6E0F" w:rsidRDefault="008F6E0F" w:rsidP="00D75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983667"/>
      <w:docPartObj>
        <w:docPartGallery w:val="Page Numbers (Bottom of Page)"/>
        <w:docPartUnique/>
      </w:docPartObj>
    </w:sdtPr>
    <w:sdtEndPr>
      <w:rPr>
        <w:noProof/>
      </w:rPr>
    </w:sdtEndPr>
    <w:sdtContent>
      <w:p w14:paraId="6C5EB5CD" w14:textId="77777777" w:rsidR="008F6E0F" w:rsidRDefault="008F6E0F">
        <w:pPr>
          <w:pStyle w:val="Footer"/>
          <w:jc w:val="right"/>
        </w:pPr>
        <w:r>
          <w:fldChar w:fldCharType="begin"/>
        </w:r>
        <w:r>
          <w:instrText xml:space="preserve"> PAGE   \* MERGEFORMAT </w:instrText>
        </w:r>
        <w:r>
          <w:fldChar w:fldCharType="separate"/>
        </w:r>
        <w:r w:rsidR="004F18D6">
          <w:rPr>
            <w:noProof/>
          </w:rPr>
          <w:t>1</w:t>
        </w:r>
        <w:r>
          <w:rPr>
            <w:noProof/>
          </w:rPr>
          <w:fldChar w:fldCharType="end"/>
        </w:r>
      </w:p>
    </w:sdtContent>
  </w:sdt>
  <w:p w14:paraId="08716380" w14:textId="77777777" w:rsidR="008F6E0F" w:rsidRDefault="008F6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13F82" w14:textId="77777777" w:rsidR="008F6E0F" w:rsidRDefault="008F6E0F" w:rsidP="00D7532E">
      <w:pPr>
        <w:spacing w:after="0" w:line="240" w:lineRule="auto"/>
      </w:pPr>
      <w:r>
        <w:separator/>
      </w:r>
    </w:p>
  </w:footnote>
  <w:footnote w:type="continuationSeparator" w:id="0">
    <w:p w14:paraId="2E99EBC3" w14:textId="77777777" w:rsidR="008F6E0F" w:rsidRDefault="008F6E0F" w:rsidP="00D753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5660F"/>
    <w:multiLevelType w:val="hybridMultilevel"/>
    <w:tmpl w:val="375A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F6D0B"/>
    <w:multiLevelType w:val="hybridMultilevel"/>
    <w:tmpl w:val="1D4C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102240"/>
    <w:multiLevelType w:val="hybridMultilevel"/>
    <w:tmpl w:val="644AD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0453818">
    <w:abstractNumId w:val="1"/>
  </w:num>
  <w:num w:numId="2" w16cid:durableId="1933395958">
    <w:abstractNumId w:val="2"/>
  </w:num>
  <w:num w:numId="3" w16cid:durableId="475534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1E"/>
    <w:rsid w:val="00021430"/>
    <w:rsid w:val="00063F15"/>
    <w:rsid w:val="00070FD3"/>
    <w:rsid w:val="00077BF9"/>
    <w:rsid w:val="00081050"/>
    <w:rsid w:val="0009368D"/>
    <w:rsid w:val="000B34B7"/>
    <w:rsid w:val="000C6014"/>
    <w:rsid w:val="000F2DD1"/>
    <w:rsid w:val="000F3FB0"/>
    <w:rsid w:val="00117D06"/>
    <w:rsid w:val="001359D4"/>
    <w:rsid w:val="00143FD8"/>
    <w:rsid w:val="001529C9"/>
    <w:rsid w:val="00162DF1"/>
    <w:rsid w:val="001A539C"/>
    <w:rsid w:val="001C012F"/>
    <w:rsid w:val="001F3BC9"/>
    <w:rsid w:val="0020642F"/>
    <w:rsid w:val="00245686"/>
    <w:rsid w:val="00273322"/>
    <w:rsid w:val="002C6EF6"/>
    <w:rsid w:val="002D5DFA"/>
    <w:rsid w:val="002F5C9F"/>
    <w:rsid w:val="003456A1"/>
    <w:rsid w:val="00350C8D"/>
    <w:rsid w:val="00366803"/>
    <w:rsid w:val="00366F78"/>
    <w:rsid w:val="003832F8"/>
    <w:rsid w:val="003D467E"/>
    <w:rsid w:val="003E7E7F"/>
    <w:rsid w:val="00452E11"/>
    <w:rsid w:val="004802CA"/>
    <w:rsid w:val="004A09B1"/>
    <w:rsid w:val="004B1A38"/>
    <w:rsid w:val="004E2911"/>
    <w:rsid w:val="004F1267"/>
    <w:rsid w:val="004F18D6"/>
    <w:rsid w:val="0050111A"/>
    <w:rsid w:val="00501EAA"/>
    <w:rsid w:val="00533F1E"/>
    <w:rsid w:val="00537636"/>
    <w:rsid w:val="00553A5F"/>
    <w:rsid w:val="00557DD2"/>
    <w:rsid w:val="00573D81"/>
    <w:rsid w:val="00582D12"/>
    <w:rsid w:val="00597CEB"/>
    <w:rsid w:val="005A6C84"/>
    <w:rsid w:val="005B1B18"/>
    <w:rsid w:val="005B2D24"/>
    <w:rsid w:val="005B317F"/>
    <w:rsid w:val="005E342C"/>
    <w:rsid w:val="005F68C1"/>
    <w:rsid w:val="00614E52"/>
    <w:rsid w:val="006444C8"/>
    <w:rsid w:val="006528C6"/>
    <w:rsid w:val="0065409F"/>
    <w:rsid w:val="00656067"/>
    <w:rsid w:val="00662877"/>
    <w:rsid w:val="00662CA4"/>
    <w:rsid w:val="00663181"/>
    <w:rsid w:val="006732A7"/>
    <w:rsid w:val="006856DE"/>
    <w:rsid w:val="00687A86"/>
    <w:rsid w:val="006D3093"/>
    <w:rsid w:val="006D5F98"/>
    <w:rsid w:val="00717530"/>
    <w:rsid w:val="00723FE5"/>
    <w:rsid w:val="00727509"/>
    <w:rsid w:val="00782382"/>
    <w:rsid w:val="00791C78"/>
    <w:rsid w:val="00866BEC"/>
    <w:rsid w:val="00881E95"/>
    <w:rsid w:val="008A18F5"/>
    <w:rsid w:val="008B6C50"/>
    <w:rsid w:val="008C60B5"/>
    <w:rsid w:val="008D0BF5"/>
    <w:rsid w:val="008F6E0F"/>
    <w:rsid w:val="009311E5"/>
    <w:rsid w:val="00964DAD"/>
    <w:rsid w:val="0096572A"/>
    <w:rsid w:val="00982A26"/>
    <w:rsid w:val="00982A48"/>
    <w:rsid w:val="00990D1C"/>
    <w:rsid w:val="009E41AB"/>
    <w:rsid w:val="009F5812"/>
    <w:rsid w:val="00A0050D"/>
    <w:rsid w:val="00A00CE9"/>
    <w:rsid w:val="00A303E7"/>
    <w:rsid w:val="00A91B42"/>
    <w:rsid w:val="00A95E96"/>
    <w:rsid w:val="00AC05C5"/>
    <w:rsid w:val="00AD65D8"/>
    <w:rsid w:val="00AE45FD"/>
    <w:rsid w:val="00B0680D"/>
    <w:rsid w:val="00B14A2A"/>
    <w:rsid w:val="00B41F7A"/>
    <w:rsid w:val="00B54286"/>
    <w:rsid w:val="00B60B2A"/>
    <w:rsid w:val="00B7025E"/>
    <w:rsid w:val="00B906D0"/>
    <w:rsid w:val="00BA4A69"/>
    <w:rsid w:val="00BB14BA"/>
    <w:rsid w:val="00BD72D1"/>
    <w:rsid w:val="00BD751C"/>
    <w:rsid w:val="00C155CC"/>
    <w:rsid w:val="00C432EA"/>
    <w:rsid w:val="00C57178"/>
    <w:rsid w:val="00C625A3"/>
    <w:rsid w:val="00C87B46"/>
    <w:rsid w:val="00CC5212"/>
    <w:rsid w:val="00D10133"/>
    <w:rsid w:val="00D3769E"/>
    <w:rsid w:val="00D7532E"/>
    <w:rsid w:val="00DB75BF"/>
    <w:rsid w:val="00DD313B"/>
    <w:rsid w:val="00DD586F"/>
    <w:rsid w:val="00DD7C38"/>
    <w:rsid w:val="00DE2BC8"/>
    <w:rsid w:val="00DE7ADF"/>
    <w:rsid w:val="00E32058"/>
    <w:rsid w:val="00E426B3"/>
    <w:rsid w:val="00E45B2F"/>
    <w:rsid w:val="00E45E60"/>
    <w:rsid w:val="00E632E1"/>
    <w:rsid w:val="00E700FE"/>
    <w:rsid w:val="00E72DA4"/>
    <w:rsid w:val="00EC63B4"/>
    <w:rsid w:val="00ED378B"/>
    <w:rsid w:val="00EE2E16"/>
    <w:rsid w:val="00F10108"/>
    <w:rsid w:val="00F41228"/>
    <w:rsid w:val="00F4428D"/>
    <w:rsid w:val="00F66871"/>
    <w:rsid w:val="00F70613"/>
    <w:rsid w:val="00F7423B"/>
    <w:rsid w:val="00F83A2B"/>
    <w:rsid w:val="00FB37C2"/>
    <w:rsid w:val="00FC5540"/>
    <w:rsid w:val="00FC7F07"/>
    <w:rsid w:val="00FD00DC"/>
    <w:rsid w:val="00FD3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09661"/>
  <w15:docId w15:val="{32EC4465-4DC2-4337-B169-253CD7021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3F1E"/>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F1E"/>
    <w:rPr>
      <w:rFonts w:ascii="Tahoma" w:hAnsi="Tahoma" w:cs="Tahoma"/>
      <w:sz w:val="16"/>
      <w:szCs w:val="16"/>
    </w:rPr>
  </w:style>
  <w:style w:type="paragraph" w:styleId="ListParagraph">
    <w:name w:val="List Paragraph"/>
    <w:basedOn w:val="Normal"/>
    <w:uiPriority w:val="34"/>
    <w:qFormat/>
    <w:rsid w:val="00C432EA"/>
    <w:pPr>
      <w:spacing w:after="0" w:line="240" w:lineRule="auto"/>
      <w:ind w:left="720"/>
      <w:contextualSpacing/>
    </w:pPr>
    <w:rPr>
      <w:rFonts w:ascii="Arial" w:eastAsia="Times New Roman" w:hAnsi="Arial" w:cs="Times New Roman"/>
      <w:sz w:val="24"/>
      <w:szCs w:val="24"/>
      <w:lang w:eastAsia="en-GB"/>
    </w:rPr>
  </w:style>
  <w:style w:type="paragraph" w:styleId="Header">
    <w:name w:val="header"/>
    <w:basedOn w:val="Normal"/>
    <w:link w:val="HeaderChar"/>
    <w:uiPriority w:val="99"/>
    <w:unhideWhenUsed/>
    <w:rsid w:val="00D753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32E"/>
  </w:style>
  <w:style w:type="paragraph" w:styleId="Footer">
    <w:name w:val="footer"/>
    <w:basedOn w:val="Normal"/>
    <w:link w:val="FooterChar"/>
    <w:uiPriority w:val="99"/>
    <w:unhideWhenUsed/>
    <w:rsid w:val="00D753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113700">
      <w:bodyDiv w:val="1"/>
      <w:marLeft w:val="0"/>
      <w:marRight w:val="0"/>
      <w:marTop w:val="0"/>
      <w:marBottom w:val="0"/>
      <w:divBdr>
        <w:top w:val="none" w:sz="0" w:space="0" w:color="auto"/>
        <w:left w:val="none" w:sz="0" w:space="0" w:color="auto"/>
        <w:bottom w:val="none" w:sz="0" w:space="0" w:color="auto"/>
        <w:right w:val="none" w:sz="0" w:space="0" w:color="auto"/>
      </w:divBdr>
    </w:div>
    <w:div w:id="1686243893">
      <w:bodyDiv w:val="1"/>
      <w:marLeft w:val="0"/>
      <w:marRight w:val="0"/>
      <w:marTop w:val="0"/>
      <w:marBottom w:val="0"/>
      <w:divBdr>
        <w:top w:val="none" w:sz="0" w:space="0" w:color="auto"/>
        <w:left w:val="none" w:sz="0" w:space="0" w:color="auto"/>
        <w:bottom w:val="none" w:sz="0" w:space="0" w:color="auto"/>
        <w:right w:val="none" w:sz="0" w:space="0" w:color="auto"/>
      </w:divBdr>
      <w:divsChild>
        <w:div w:id="312761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Flanagan, Bernadette</dc:creator>
  <cp:lastModifiedBy>Flanagan, Bernadette</cp:lastModifiedBy>
  <cp:revision>9</cp:revision>
  <dcterms:created xsi:type="dcterms:W3CDTF">2024-09-09T10:30:00Z</dcterms:created>
  <dcterms:modified xsi:type="dcterms:W3CDTF">2024-09-27T13:57:00Z</dcterms:modified>
</cp:coreProperties>
</file>