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C10D" w14:textId="2B339A73" w:rsidR="00C93A3F" w:rsidRDefault="00CE4648" w:rsidP="00CE4648">
      <w:r>
        <w:rPr>
          <w:noProof/>
        </w:rPr>
        <w:drawing>
          <wp:inline distT="0" distB="0" distL="0" distR="0" wp14:anchorId="5770CCB3" wp14:editId="59A7E38B">
            <wp:extent cx="2514600" cy="831850"/>
            <wp:effectExtent l="0" t="0" r="0" b="6350"/>
            <wp:docPr id="184653651" name="Picture 1" descr="TBC Logo_teal and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teal and gr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773">
        <w:br w:type="textWrapping" w:clear="all"/>
      </w:r>
    </w:p>
    <w:p w14:paraId="54917F26" w14:textId="1CC9DC11" w:rsidR="00983773" w:rsidRDefault="00983773" w:rsidP="00CE4648">
      <w:r>
        <w:t xml:space="preserve">                                                                                                                                                   October 2024</w:t>
      </w:r>
    </w:p>
    <w:p w14:paraId="41EEE424" w14:textId="77777777" w:rsidR="00CE4648" w:rsidRDefault="00CE4648" w:rsidP="00CE4648"/>
    <w:p w14:paraId="0FF42E2A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Dear Supplier, </w:t>
      </w:r>
    </w:p>
    <w:p w14:paraId="609CAB8A" w14:textId="77777777" w:rsidR="00CE4648" w:rsidRPr="00983773" w:rsidRDefault="00CE4648" w:rsidP="00CE4648">
      <w:pPr>
        <w:rPr>
          <w:rFonts w:ascii="Arial" w:hAnsi="Arial" w:cs="Arial"/>
          <w:b/>
          <w:bCs/>
          <w:sz w:val="24"/>
          <w:szCs w:val="24"/>
        </w:rPr>
      </w:pPr>
      <w:r w:rsidRPr="00983773">
        <w:rPr>
          <w:rFonts w:ascii="Arial" w:hAnsi="Arial" w:cs="Arial"/>
          <w:b/>
          <w:bCs/>
          <w:sz w:val="24"/>
          <w:szCs w:val="24"/>
        </w:rPr>
        <w:t>Procurement Act 2023</w:t>
      </w:r>
    </w:p>
    <w:p w14:paraId="0A4F7445" w14:textId="3AC1666E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 I am writing to you about the Procurement Act which achieved Royal Assent in </w:t>
      </w:r>
      <w:r>
        <w:rPr>
          <w:rFonts w:ascii="Arial" w:hAnsi="Arial" w:cs="Arial"/>
          <w:sz w:val="24"/>
          <w:szCs w:val="24"/>
        </w:rPr>
        <w:t xml:space="preserve">the </w:t>
      </w:r>
      <w:r w:rsidRPr="00CE4648">
        <w:rPr>
          <w:rFonts w:ascii="Arial" w:hAnsi="Arial" w:cs="Arial"/>
          <w:sz w:val="24"/>
          <w:szCs w:val="24"/>
        </w:rPr>
        <w:t xml:space="preserve">autumn </w:t>
      </w:r>
      <w:r>
        <w:rPr>
          <w:rFonts w:ascii="Arial" w:hAnsi="Arial" w:cs="Arial"/>
          <w:sz w:val="24"/>
          <w:szCs w:val="24"/>
        </w:rPr>
        <w:t>of last</w:t>
      </w:r>
      <w:r w:rsidRPr="00CE4648">
        <w:rPr>
          <w:rFonts w:ascii="Arial" w:hAnsi="Arial" w:cs="Arial"/>
          <w:sz w:val="24"/>
          <w:szCs w:val="24"/>
        </w:rPr>
        <w:t xml:space="preserve"> year. This is an important piece of legislation which will revolutionise the way the public sector buys goods and services, bringing a range of benefits, including: </w:t>
      </w:r>
    </w:p>
    <w:p w14:paraId="2D7ABFB8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Creating a simpler and more flexible commercial system that better meets our country’s needs while remaining compliant with our international obligations. </w:t>
      </w:r>
    </w:p>
    <w:p w14:paraId="4A8CA8EC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Opening up public procurement to new entrants such as small businesses and social enterprises so that they can compete for and win more public contracts. </w:t>
      </w:r>
    </w:p>
    <w:p w14:paraId="5ECC9F1B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Taking tougher action on underperforming suppliers and excluding suppliers who pose unacceptable risks. </w:t>
      </w:r>
    </w:p>
    <w:p w14:paraId="12E57EE5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Embedding transparency throughout the commercial lifecycle so that the spending of taxpayers’ money can be properly scrutinised. </w:t>
      </w:r>
    </w:p>
    <w:p w14:paraId="4AFD0803" w14:textId="77777777" w:rsidR="00250C4C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As a business which supplies goods, works or services to organisations in the public sector you need to know about these changes and our plans to prepare for go-live. </w:t>
      </w:r>
    </w:p>
    <w:p w14:paraId="7078103D" w14:textId="56B3FD59" w:rsidR="00CE4648" w:rsidRPr="00CE4648" w:rsidRDefault="00250C4C" w:rsidP="00CE4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E4648" w:rsidRPr="00CE4648">
        <w:rPr>
          <w:rFonts w:ascii="Arial" w:hAnsi="Arial" w:cs="Arial"/>
          <w:sz w:val="24"/>
          <w:szCs w:val="24"/>
        </w:rPr>
        <w:t xml:space="preserve">he new regime </w:t>
      </w:r>
      <w:r>
        <w:rPr>
          <w:rFonts w:ascii="Arial" w:hAnsi="Arial" w:cs="Arial"/>
          <w:sz w:val="24"/>
          <w:szCs w:val="24"/>
        </w:rPr>
        <w:t>will</w:t>
      </w:r>
      <w:r w:rsidR="00CE4648" w:rsidRPr="00CE4648">
        <w:rPr>
          <w:rFonts w:ascii="Arial" w:hAnsi="Arial" w:cs="Arial"/>
          <w:sz w:val="24"/>
          <w:szCs w:val="24"/>
        </w:rPr>
        <w:t xml:space="preserve"> commence </w:t>
      </w:r>
      <w:r>
        <w:rPr>
          <w:rFonts w:ascii="Arial" w:hAnsi="Arial" w:cs="Arial"/>
          <w:sz w:val="24"/>
          <w:szCs w:val="24"/>
        </w:rPr>
        <w:t xml:space="preserve">on </w:t>
      </w:r>
      <w:r w:rsidR="005A04D1">
        <w:rPr>
          <w:rFonts w:ascii="Arial" w:hAnsi="Arial" w:cs="Arial"/>
          <w:sz w:val="24"/>
          <w:szCs w:val="24"/>
        </w:rPr>
        <w:t>24 February 2025</w:t>
      </w:r>
      <w:r w:rsidR="00CE4648" w:rsidRPr="00CE4648">
        <w:rPr>
          <w:rFonts w:ascii="Arial" w:hAnsi="Arial" w:cs="Arial"/>
          <w:sz w:val="24"/>
          <w:szCs w:val="24"/>
        </w:rPr>
        <w:t xml:space="preserve">. The existing rules will continue to apply for contracts that are already in progress, so the changes will not happen overnight. </w:t>
      </w:r>
    </w:p>
    <w:p w14:paraId="19B59206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For suppliers there will be new features which should make it easier to do business with contracting authorities: </w:t>
      </w:r>
    </w:p>
    <w:p w14:paraId="1EDB4D8F" w14:textId="3D14D96E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>• A central digital platform for suppliers to register</w:t>
      </w:r>
      <w:r w:rsidR="0003367B">
        <w:rPr>
          <w:rFonts w:ascii="Arial" w:hAnsi="Arial" w:cs="Arial"/>
          <w:sz w:val="24"/>
          <w:szCs w:val="24"/>
        </w:rPr>
        <w:t>, receive their unique reference number</w:t>
      </w:r>
      <w:r w:rsidRPr="00CE4648">
        <w:rPr>
          <w:rFonts w:ascii="Arial" w:hAnsi="Arial" w:cs="Arial"/>
          <w:sz w:val="24"/>
          <w:szCs w:val="24"/>
        </w:rPr>
        <w:t xml:space="preserve"> and store their details so that they can be used for multiple bids and see all opportunities in one place. </w:t>
      </w:r>
    </w:p>
    <w:p w14:paraId="1DB66AA8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Simplified bidding processes to make it easier to bid, negotiate and work in partnership with the public sector - including a new ‘competitive flexible’ procedure. </w:t>
      </w:r>
    </w:p>
    <w:p w14:paraId="32804EA5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Commercial frameworks will be more flexible, so prospective suppliers are not shut out for long periods of time. </w:t>
      </w:r>
    </w:p>
    <w:p w14:paraId="19B7E037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A new duty on contracting authorities to have regard to the particular barriers facing SMEs and VCSEs, and to consider what can be done to overcome them throughout </w:t>
      </w:r>
      <w:r w:rsidRPr="00CE4648">
        <w:rPr>
          <w:rFonts w:ascii="Arial" w:hAnsi="Arial" w:cs="Arial"/>
          <w:sz w:val="24"/>
          <w:szCs w:val="24"/>
        </w:rPr>
        <w:lastRenderedPageBreak/>
        <w:t xml:space="preserve">the procurement lifecycle, helping level the playing field for smaller businesses so they can compete for more contracts. </w:t>
      </w:r>
    </w:p>
    <w:p w14:paraId="3A09A180" w14:textId="5819AF51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 • Strengthened provisions for prompt payment throughout the supply chain - enabling SMEs to benefit from </w:t>
      </w:r>
      <w:r w:rsidR="00250C4C" w:rsidRPr="00CE4648">
        <w:rPr>
          <w:rFonts w:ascii="Arial" w:hAnsi="Arial" w:cs="Arial"/>
          <w:sz w:val="24"/>
          <w:szCs w:val="24"/>
        </w:rPr>
        <w:t>30-day</w:t>
      </w:r>
      <w:r w:rsidRPr="00CE4648">
        <w:rPr>
          <w:rFonts w:ascii="Arial" w:hAnsi="Arial" w:cs="Arial"/>
          <w:sz w:val="24"/>
          <w:szCs w:val="24"/>
        </w:rPr>
        <w:t xml:space="preserve"> payment terms on a broader range of public sector contracts. </w:t>
      </w:r>
    </w:p>
    <w:p w14:paraId="016DA265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A stronger exclusions framework will take tougher action on underperforming suppliers. </w:t>
      </w:r>
    </w:p>
    <w:p w14:paraId="23127035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These changes will drive innovation, deliver better outcomes and embed transparency right through the commercial lifecycle, so everyone can access procurement data and see how money is spent. </w:t>
      </w:r>
    </w:p>
    <w:p w14:paraId="37FF3D8C" w14:textId="325E8B59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The Government Commercial Function will be providing a comprehensive training package for procurement practitioners in government departments and public bodies to ensure the benefits of the new regime are quickly </w:t>
      </w:r>
      <w:r w:rsidR="00B469E0" w:rsidRPr="00CE4648">
        <w:rPr>
          <w:rFonts w:ascii="Arial" w:hAnsi="Arial" w:cs="Arial"/>
          <w:sz w:val="24"/>
          <w:szCs w:val="24"/>
        </w:rPr>
        <w:t>realised and</w:t>
      </w:r>
      <w:r w:rsidRPr="00CE4648">
        <w:rPr>
          <w:rFonts w:ascii="Arial" w:hAnsi="Arial" w:cs="Arial"/>
          <w:sz w:val="24"/>
          <w:szCs w:val="24"/>
        </w:rPr>
        <w:t xml:space="preserve"> working with leading business groups and trade associations to make some of this training as well as guidance and support available for the suppliers. </w:t>
      </w:r>
    </w:p>
    <w:p w14:paraId="640C4836" w14:textId="77777777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There is already a range of information and resources about the new regime on the Transforming Public Procurement landing page including a series of ‘Knowledge Drop’ training videos with tailored versions designed specifically for suppliers, including SME and VCSE suppliers. </w:t>
      </w:r>
    </w:p>
    <w:p w14:paraId="645ACE87" w14:textId="57B05F0C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Materials will continue to be added and further resources added, as we move towards </w:t>
      </w:r>
      <w:r w:rsidR="00F07E80" w:rsidRPr="00CE4648">
        <w:rPr>
          <w:rFonts w:ascii="Arial" w:hAnsi="Arial" w:cs="Arial"/>
          <w:sz w:val="24"/>
          <w:szCs w:val="24"/>
        </w:rPr>
        <w:t>go live</w:t>
      </w:r>
      <w:r w:rsidRPr="00CE4648">
        <w:rPr>
          <w:rFonts w:ascii="Arial" w:hAnsi="Arial" w:cs="Arial"/>
          <w:sz w:val="24"/>
          <w:szCs w:val="24"/>
        </w:rPr>
        <w:t xml:space="preserve">. In the </w:t>
      </w:r>
      <w:r w:rsidR="00F07E80" w:rsidRPr="00CE4648">
        <w:rPr>
          <w:rFonts w:ascii="Arial" w:hAnsi="Arial" w:cs="Arial"/>
          <w:sz w:val="24"/>
          <w:szCs w:val="24"/>
        </w:rPr>
        <w:t>meantime,</w:t>
      </w:r>
      <w:r w:rsidRPr="00CE4648">
        <w:rPr>
          <w:rFonts w:ascii="Arial" w:hAnsi="Arial" w:cs="Arial"/>
          <w:sz w:val="24"/>
          <w:szCs w:val="24"/>
        </w:rPr>
        <w:t xml:space="preserve"> there are actions you can start to take to prepare: </w:t>
      </w:r>
    </w:p>
    <w:p w14:paraId="6924B3E6" w14:textId="3AB28386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• Familiarise yourself with the Act - check out the summary documents and videos on the Transforming Public Procurement landing </w:t>
      </w:r>
      <w:r w:rsidR="00250C4C" w:rsidRPr="00CE4648">
        <w:rPr>
          <w:rFonts w:ascii="Arial" w:hAnsi="Arial" w:cs="Arial"/>
          <w:sz w:val="24"/>
          <w:szCs w:val="24"/>
        </w:rPr>
        <w:t>page and</w:t>
      </w:r>
      <w:r w:rsidRPr="00CE4648">
        <w:rPr>
          <w:rFonts w:ascii="Arial" w:hAnsi="Arial" w:cs="Arial"/>
          <w:sz w:val="24"/>
          <w:szCs w:val="24"/>
        </w:rPr>
        <w:t xml:space="preserve"> sign up for regular updates.</w:t>
      </w:r>
    </w:p>
    <w:p w14:paraId="00293930" w14:textId="243B2A36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 • Watch the dedicated official Knowledge Drops now available, with guidance, procurement reform events and supplier communications. </w:t>
      </w:r>
    </w:p>
    <w:p w14:paraId="790296B7" w14:textId="4250E106" w:rsidR="00CE4648" w:rsidRP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Here at </w:t>
      </w:r>
      <w:r w:rsidR="00250C4C">
        <w:rPr>
          <w:rFonts w:ascii="Arial" w:hAnsi="Arial" w:cs="Arial"/>
          <w:sz w:val="24"/>
          <w:szCs w:val="24"/>
        </w:rPr>
        <w:t xml:space="preserve">Tamworth Borough </w:t>
      </w:r>
      <w:r w:rsidR="00F07E80">
        <w:rPr>
          <w:rFonts w:ascii="Arial" w:hAnsi="Arial" w:cs="Arial"/>
          <w:sz w:val="24"/>
          <w:szCs w:val="24"/>
        </w:rPr>
        <w:t>Council,</w:t>
      </w:r>
      <w:r w:rsidR="00250C4C">
        <w:rPr>
          <w:rFonts w:ascii="Arial" w:hAnsi="Arial" w:cs="Arial"/>
          <w:sz w:val="24"/>
          <w:szCs w:val="24"/>
        </w:rPr>
        <w:t xml:space="preserve"> </w:t>
      </w:r>
      <w:r w:rsidRPr="00CE4648">
        <w:rPr>
          <w:rFonts w:ascii="Arial" w:hAnsi="Arial" w:cs="Arial"/>
          <w:sz w:val="24"/>
          <w:szCs w:val="24"/>
        </w:rPr>
        <w:t xml:space="preserve">we are preparing by reviewing our pipeline, training our staff and exploring how </w:t>
      </w:r>
      <w:r w:rsidR="00250C4C">
        <w:rPr>
          <w:rFonts w:ascii="Arial" w:hAnsi="Arial" w:cs="Arial"/>
          <w:sz w:val="24"/>
          <w:szCs w:val="24"/>
        </w:rPr>
        <w:t>Tamworth Borough Council’s</w:t>
      </w:r>
      <w:r w:rsidRPr="00CE4648">
        <w:rPr>
          <w:rFonts w:ascii="Arial" w:hAnsi="Arial" w:cs="Arial"/>
          <w:sz w:val="24"/>
          <w:szCs w:val="24"/>
        </w:rPr>
        <w:t xml:space="preserve"> requirements can benefit from the flexibilities of the new act.</w:t>
      </w:r>
    </w:p>
    <w:p w14:paraId="63D2BF96" w14:textId="504085DA" w:rsidR="00CE4648" w:rsidRDefault="00CE4648" w:rsidP="00CE4648">
      <w:pPr>
        <w:rPr>
          <w:rFonts w:ascii="Arial" w:hAnsi="Arial" w:cs="Arial"/>
          <w:sz w:val="24"/>
          <w:szCs w:val="24"/>
        </w:rPr>
      </w:pPr>
      <w:r w:rsidRPr="00CE4648">
        <w:rPr>
          <w:rFonts w:ascii="Arial" w:hAnsi="Arial" w:cs="Arial"/>
          <w:sz w:val="24"/>
          <w:szCs w:val="24"/>
        </w:rPr>
        <w:t xml:space="preserve">In the meantime, if you would like to discuss any aspect of the new </w:t>
      </w:r>
      <w:r w:rsidR="00F07E80" w:rsidRPr="00CE4648">
        <w:rPr>
          <w:rFonts w:ascii="Arial" w:hAnsi="Arial" w:cs="Arial"/>
          <w:sz w:val="24"/>
          <w:szCs w:val="24"/>
        </w:rPr>
        <w:t>Act,</w:t>
      </w:r>
      <w:r w:rsidRPr="00CE4648">
        <w:rPr>
          <w:rFonts w:ascii="Arial" w:hAnsi="Arial" w:cs="Arial"/>
          <w:sz w:val="24"/>
          <w:szCs w:val="24"/>
        </w:rPr>
        <w:t xml:space="preserve"> please contact </w:t>
      </w:r>
      <w:hyperlink r:id="rId5" w:history="1">
        <w:r w:rsidR="00250C4C" w:rsidRPr="007C59DE">
          <w:rPr>
            <w:rStyle w:val="Hyperlink"/>
            <w:rFonts w:ascii="Arial" w:hAnsi="Arial" w:cs="Arial"/>
            <w:sz w:val="24"/>
            <w:szCs w:val="24"/>
          </w:rPr>
          <w:t>procurement@tamworth.gov.uk</w:t>
        </w:r>
      </w:hyperlink>
      <w:r w:rsidR="00250C4C">
        <w:rPr>
          <w:rFonts w:ascii="Arial" w:hAnsi="Arial" w:cs="Arial"/>
          <w:sz w:val="24"/>
          <w:szCs w:val="24"/>
        </w:rPr>
        <w:t>.</w:t>
      </w:r>
    </w:p>
    <w:p w14:paraId="2FC9ACA0" w14:textId="77777777" w:rsidR="00250C4C" w:rsidRDefault="00250C4C" w:rsidP="00CE4648">
      <w:pPr>
        <w:rPr>
          <w:rFonts w:ascii="Arial" w:hAnsi="Arial" w:cs="Arial"/>
          <w:sz w:val="24"/>
          <w:szCs w:val="24"/>
        </w:rPr>
      </w:pPr>
    </w:p>
    <w:p w14:paraId="2D93DFE1" w14:textId="50DD5A06" w:rsidR="00250C4C" w:rsidRDefault="00250C4C" w:rsidP="00CE4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</w:t>
      </w:r>
    </w:p>
    <w:p w14:paraId="09DDEF14" w14:textId="77777777" w:rsidR="00250C4C" w:rsidRDefault="00250C4C" w:rsidP="00CE4648">
      <w:pPr>
        <w:rPr>
          <w:rFonts w:ascii="Arial" w:hAnsi="Arial" w:cs="Arial"/>
          <w:sz w:val="24"/>
          <w:szCs w:val="24"/>
        </w:rPr>
      </w:pPr>
    </w:p>
    <w:p w14:paraId="2C1F712A" w14:textId="77777777" w:rsidR="00250C4C" w:rsidRDefault="00250C4C" w:rsidP="00CE4648">
      <w:pPr>
        <w:rPr>
          <w:rFonts w:ascii="Arial" w:hAnsi="Arial" w:cs="Arial"/>
          <w:sz w:val="24"/>
          <w:szCs w:val="24"/>
        </w:rPr>
      </w:pPr>
    </w:p>
    <w:p w14:paraId="719746A6" w14:textId="0F064274" w:rsidR="00250C4C" w:rsidRDefault="00250C4C" w:rsidP="00CE4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Emma Dyer</w:t>
      </w:r>
    </w:p>
    <w:p w14:paraId="13C5BE3B" w14:textId="601280CD" w:rsidR="00250C4C" w:rsidRPr="00CE4648" w:rsidRDefault="00250C4C" w:rsidP="00CE4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 Accountant</w:t>
      </w:r>
    </w:p>
    <w:sectPr w:rsidR="00250C4C" w:rsidRPr="00CE4648" w:rsidSect="00CE4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48"/>
    <w:rsid w:val="0003367B"/>
    <w:rsid w:val="0010091B"/>
    <w:rsid w:val="00121A5A"/>
    <w:rsid w:val="00250C4C"/>
    <w:rsid w:val="005A04D1"/>
    <w:rsid w:val="00872855"/>
    <w:rsid w:val="00983773"/>
    <w:rsid w:val="00A92DBE"/>
    <w:rsid w:val="00B469E0"/>
    <w:rsid w:val="00C93A3F"/>
    <w:rsid w:val="00CE4648"/>
    <w:rsid w:val="00F07E80"/>
    <w:rsid w:val="00F16BA5"/>
    <w:rsid w:val="00F5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1E6D"/>
  <w15:chartTrackingRefBased/>
  <w15:docId w15:val="{F7B5CFD5-0660-449C-8B3B-B19A8486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0C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tamworth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Getliff, Jennifer</dc:creator>
  <cp:keywords/>
  <dc:description/>
  <cp:lastModifiedBy>Toone, Anna</cp:lastModifiedBy>
  <cp:revision>14</cp:revision>
  <dcterms:created xsi:type="dcterms:W3CDTF">2024-08-01T13:03:00Z</dcterms:created>
  <dcterms:modified xsi:type="dcterms:W3CDTF">2024-10-10T14:29:00Z</dcterms:modified>
</cp:coreProperties>
</file>