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F38A" w14:textId="77777777" w:rsidR="00FC65C1" w:rsidRDefault="00FC65C1" w:rsidP="00FC65C1">
      <w:pPr>
        <w:jc w:val="both"/>
        <w:rPr>
          <w:rFonts w:ascii="Lucida Console" w:hAnsi="Lucida Console"/>
        </w:rPr>
      </w:pPr>
    </w:p>
    <w:p w14:paraId="2ED49E92" w14:textId="77777777" w:rsidR="00CE78BD" w:rsidRDefault="00CE78BD" w:rsidP="002B493B">
      <w:pPr>
        <w:rPr>
          <w:rFonts w:ascii="Arial Black" w:hAnsi="Arial Black"/>
          <w:b/>
          <w:sz w:val="48"/>
          <w:szCs w:val="48"/>
        </w:rPr>
        <w:sectPr w:rsidR="00CE78BD" w:rsidSect="008D11BC">
          <w:headerReference w:type="default" r:id="rId7"/>
          <w:footerReference w:type="even"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DD40BAD" w14:textId="77777777" w:rsidR="00C53F0B" w:rsidRDefault="00AA008D" w:rsidP="00C53F0B">
      <w:pPr>
        <w:jc w:val="center"/>
        <w:rPr>
          <w:rFonts w:ascii="Arial Black" w:hAnsi="Arial Black"/>
          <w:bCs/>
          <w:sz w:val="56"/>
          <w:szCs w:val="56"/>
        </w:rPr>
      </w:pPr>
      <w:r>
        <w:rPr>
          <w:rFonts w:ascii="Arial" w:hAnsi="Arial" w:cs="Arial"/>
          <w:b/>
          <w:sz w:val="40"/>
          <w:szCs w:val="40"/>
        </w:rPr>
        <w:t>Injunctions</w:t>
      </w:r>
    </w:p>
    <w:p w14:paraId="3AD0AE03" w14:textId="77777777" w:rsidR="00CE78BD" w:rsidRPr="000B18C9" w:rsidRDefault="00CE78BD" w:rsidP="00CE78BD">
      <w:pPr>
        <w:rPr>
          <w:rFonts w:ascii="Arial" w:hAnsi="Arial" w:cs="Arial"/>
          <w:b/>
          <w:lang w:val="en"/>
        </w:rPr>
      </w:pPr>
    </w:p>
    <w:p w14:paraId="72B06B79" w14:textId="77777777" w:rsidR="00CE78BD" w:rsidRDefault="00CE78BD" w:rsidP="00CE78BD">
      <w:pPr>
        <w:autoSpaceDE w:val="0"/>
        <w:autoSpaceDN w:val="0"/>
        <w:adjustRightInd w:val="0"/>
        <w:jc w:val="both"/>
        <w:rPr>
          <w:rFonts w:ascii="Arial" w:hAnsi="Arial" w:cs="Arial"/>
        </w:rPr>
      </w:pPr>
    </w:p>
    <w:p w14:paraId="7517FE9C" w14:textId="77777777" w:rsidR="00A4793C" w:rsidRDefault="00CC2712" w:rsidP="002B59C0">
      <w:pPr>
        <w:jc w:val="both"/>
        <w:rPr>
          <w:rFonts w:ascii="Arial" w:hAnsi="Arial" w:cs="Arial"/>
        </w:rPr>
      </w:pPr>
      <w:r>
        <w:rPr>
          <w:rFonts w:ascii="Arial" w:hAnsi="Arial" w:cs="Arial"/>
        </w:rPr>
        <w:t>Civil Injunctions were introduced in Part 1 of the Anti-Social Behaviour, Crime &amp; Policing Act 20</w:t>
      </w:r>
      <w:r w:rsidR="00D80BE7">
        <w:rPr>
          <w:rFonts w:ascii="Arial" w:hAnsi="Arial" w:cs="Arial"/>
        </w:rPr>
        <w:t>1</w:t>
      </w:r>
      <w:r>
        <w:rPr>
          <w:rFonts w:ascii="Arial" w:hAnsi="Arial" w:cs="Arial"/>
        </w:rPr>
        <w:t xml:space="preserve">4. </w:t>
      </w:r>
    </w:p>
    <w:p w14:paraId="348F980A" w14:textId="77777777" w:rsidR="00CC2712" w:rsidRDefault="00CC2712" w:rsidP="002B59C0">
      <w:pPr>
        <w:jc w:val="both"/>
        <w:rPr>
          <w:rFonts w:ascii="Arial" w:hAnsi="Arial" w:cs="Arial"/>
        </w:rPr>
      </w:pPr>
    </w:p>
    <w:p w14:paraId="03C88ABB" w14:textId="77777777" w:rsidR="002579F1" w:rsidRDefault="00CC2712" w:rsidP="002B59C0">
      <w:pPr>
        <w:jc w:val="both"/>
        <w:rPr>
          <w:rFonts w:ascii="Arial" w:hAnsi="Arial" w:cs="Arial"/>
        </w:rPr>
      </w:pPr>
      <w:r w:rsidRPr="00CC2712">
        <w:rPr>
          <w:rFonts w:ascii="Arial" w:hAnsi="Arial" w:cs="Arial"/>
        </w:rPr>
        <w:t>The injunction is a civil power to deal with anti-social individuals</w:t>
      </w:r>
      <w:r w:rsidR="002579F1">
        <w:rPr>
          <w:rFonts w:ascii="Arial" w:hAnsi="Arial" w:cs="Arial"/>
        </w:rPr>
        <w:t xml:space="preserve"> and can include prohibitions and positive actions</w:t>
      </w:r>
      <w:r w:rsidRPr="00CC2712">
        <w:rPr>
          <w:rFonts w:ascii="Arial" w:hAnsi="Arial" w:cs="Arial"/>
        </w:rPr>
        <w:t xml:space="preserve">. </w:t>
      </w:r>
      <w:r w:rsidR="002579F1">
        <w:rPr>
          <w:rFonts w:ascii="Arial" w:hAnsi="Arial" w:cs="Arial"/>
        </w:rPr>
        <w:t xml:space="preserve">For example, somebody causing anti-social behaviour when they are under the influence of substances may be forbidden from drinking in a public place </w:t>
      </w:r>
      <w:proofErr w:type="gramStart"/>
      <w:r w:rsidR="002579F1">
        <w:rPr>
          <w:rFonts w:ascii="Arial" w:hAnsi="Arial" w:cs="Arial"/>
        </w:rPr>
        <w:t>and also</w:t>
      </w:r>
      <w:proofErr w:type="gramEnd"/>
      <w:r w:rsidR="002579F1">
        <w:rPr>
          <w:rFonts w:ascii="Arial" w:hAnsi="Arial" w:cs="Arial"/>
        </w:rPr>
        <w:t xml:space="preserve"> ordered to engage with substance misuse services to help with an addiction.</w:t>
      </w:r>
    </w:p>
    <w:p w14:paraId="3F7EEC45" w14:textId="77777777" w:rsidR="002579F1" w:rsidRDefault="002579F1" w:rsidP="002B59C0">
      <w:pPr>
        <w:jc w:val="both"/>
        <w:rPr>
          <w:rFonts w:ascii="Arial" w:hAnsi="Arial" w:cs="Arial"/>
        </w:rPr>
      </w:pPr>
    </w:p>
    <w:p w14:paraId="033ADFB9" w14:textId="77777777" w:rsidR="00CC2712" w:rsidRPr="00CC2712" w:rsidRDefault="00CC2712" w:rsidP="002B59C0">
      <w:pPr>
        <w:jc w:val="both"/>
        <w:rPr>
          <w:rFonts w:ascii="Arial" w:hAnsi="Arial" w:cs="Arial"/>
          <w:color w:val="222222"/>
          <w:sz w:val="27"/>
          <w:szCs w:val="27"/>
        </w:rPr>
      </w:pPr>
      <w:r w:rsidRPr="00CC2712">
        <w:rPr>
          <w:rFonts w:ascii="Arial" w:hAnsi="Arial" w:cs="Arial"/>
        </w:rPr>
        <w:t xml:space="preserve">The injunction can offer fast and effective protection for victims and communities and set a clear standard of behaviour for </w:t>
      </w:r>
      <w:r w:rsidR="00D80BE7">
        <w:rPr>
          <w:rFonts w:ascii="Arial" w:hAnsi="Arial" w:cs="Arial"/>
        </w:rPr>
        <w:t>offenders</w:t>
      </w:r>
      <w:r w:rsidRPr="00CC2712">
        <w:rPr>
          <w:rFonts w:ascii="Arial" w:hAnsi="Arial" w:cs="Arial"/>
        </w:rPr>
        <w:t>, stopping the person’s behaviour from escalating.</w:t>
      </w:r>
    </w:p>
    <w:p w14:paraId="04A568B8" w14:textId="77777777" w:rsidR="00A4793C" w:rsidRDefault="00A4793C" w:rsidP="00A4793C">
      <w:pPr>
        <w:rPr>
          <w:rFonts w:ascii="Arial" w:hAnsi="Arial"/>
          <w:b/>
          <w:u w:val="single"/>
        </w:rPr>
      </w:pPr>
    </w:p>
    <w:p w14:paraId="58AF0A46" w14:textId="77777777" w:rsidR="00A4793C" w:rsidRDefault="00A4793C" w:rsidP="00A4793C">
      <w:pPr>
        <w:rPr>
          <w:rFonts w:ascii="Arial" w:hAnsi="Arial"/>
          <w:b/>
          <w:u w:val="single"/>
        </w:rPr>
        <w:sectPr w:rsidR="00A4793C" w:rsidSect="00A4793C">
          <w:type w:val="continuous"/>
          <w:pgSz w:w="11906" w:h="16838"/>
          <w:pgMar w:top="851" w:right="1797" w:bottom="851" w:left="1797" w:header="709" w:footer="709" w:gutter="0"/>
          <w:cols w:space="720"/>
          <w:docGrid w:linePitch="360"/>
        </w:sectPr>
      </w:pPr>
    </w:p>
    <w:p w14:paraId="4E2A0F70" w14:textId="77777777" w:rsidR="00A4793C" w:rsidRDefault="00A4793C" w:rsidP="00A4793C">
      <w:pPr>
        <w:jc w:val="both"/>
        <w:rPr>
          <w:rFonts w:ascii="Arial" w:hAnsi="Arial" w:cs="Arial"/>
          <w:szCs w:val="30"/>
        </w:rPr>
      </w:pPr>
      <w:r>
        <w:rPr>
          <w:rFonts w:ascii="Arial" w:hAnsi="Arial" w:cs="Arial"/>
          <w:b/>
          <w:szCs w:val="30"/>
          <w:u w:val="single"/>
        </w:rPr>
        <w:t xml:space="preserve">What is </w:t>
      </w:r>
      <w:r w:rsidR="002B59C0">
        <w:rPr>
          <w:rFonts w:ascii="Arial" w:hAnsi="Arial" w:cs="Arial"/>
          <w:b/>
          <w:szCs w:val="30"/>
          <w:u w:val="single"/>
        </w:rPr>
        <w:t xml:space="preserve">the </w:t>
      </w:r>
      <w:r w:rsidR="00E044CC">
        <w:rPr>
          <w:rFonts w:ascii="Arial" w:hAnsi="Arial" w:cs="Arial"/>
          <w:b/>
          <w:szCs w:val="30"/>
          <w:u w:val="single"/>
        </w:rPr>
        <w:t xml:space="preserve">legal </w:t>
      </w:r>
      <w:r w:rsidR="002B59C0">
        <w:rPr>
          <w:rFonts w:ascii="Arial" w:hAnsi="Arial" w:cs="Arial"/>
          <w:b/>
          <w:szCs w:val="30"/>
          <w:u w:val="single"/>
        </w:rPr>
        <w:t xml:space="preserve">test for </w:t>
      </w:r>
      <w:r w:rsidR="00AB2E69">
        <w:rPr>
          <w:rFonts w:ascii="Arial" w:hAnsi="Arial" w:cs="Arial"/>
          <w:b/>
          <w:szCs w:val="30"/>
          <w:u w:val="single"/>
        </w:rPr>
        <w:t>granting</w:t>
      </w:r>
      <w:r w:rsidR="002B59C0">
        <w:rPr>
          <w:rFonts w:ascii="Arial" w:hAnsi="Arial" w:cs="Arial"/>
          <w:b/>
          <w:szCs w:val="30"/>
          <w:u w:val="single"/>
        </w:rPr>
        <w:t xml:space="preserve"> an injunction</w:t>
      </w:r>
      <w:r>
        <w:rPr>
          <w:rFonts w:ascii="Arial" w:hAnsi="Arial" w:cs="Arial"/>
          <w:b/>
          <w:szCs w:val="30"/>
          <w:u w:val="single"/>
        </w:rPr>
        <w:t>?</w:t>
      </w:r>
    </w:p>
    <w:p w14:paraId="3E9F1B72" w14:textId="77777777" w:rsidR="00A4793C" w:rsidRDefault="00A4793C" w:rsidP="00A4793C">
      <w:pPr>
        <w:jc w:val="both"/>
        <w:rPr>
          <w:rFonts w:ascii="Arial" w:hAnsi="Arial" w:cs="Arial"/>
          <w:szCs w:val="30"/>
        </w:rPr>
      </w:pPr>
    </w:p>
    <w:p w14:paraId="78ECC37F" w14:textId="77777777" w:rsidR="00AB2E69" w:rsidRDefault="00AB2E69" w:rsidP="00A4793C">
      <w:pPr>
        <w:jc w:val="both"/>
        <w:rPr>
          <w:rFonts w:ascii="Arial" w:hAnsi="Arial" w:cs="Arial"/>
        </w:rPr>
      </w:pPr>
      <w:r w:rsidRPr="00AB2E69">
        <w:rPr>
          <w:rFonts w:ascii="Arial" w:hAnsi="Arial" w:cs="Arial"/>
        </w:rPr>
        <w:t xml:space="preserve">There are two conditions to meet </w:t>
      </w:r>
      <w:proofErr w:type="gramStart"/>
      <w:r w:rsidRPr="00AB2E69">
        <w:rPr>
          <w:rFonts w:ascii="Arial" w:hAnsi="Arial" w:cs="Arial"/>
        </w:rPr>
        <w:t>in order to</w:t>
      </w:r>
      <w:proofErr w:type="gramEnd"/>
      <w:r w:rsidRPr="00AB2E69">
        <w:rPr>
          <w:rFonts w:ascii="Arial" w:hAnsi="Arial" w:cs="Arial"/>
        </w:rPr>
        <w:t xml:space="preserve"> grant an injunction.</w:t>
      </w:r>
    </w:p>
    <w:p w14:paraId="2E14CC3C" w14:textId="77777777" w:rsidR="00AB2E69" w:rsidRDefault="00AB2E69" w:rsidP="00A4793C">
      <w:pPr>
        <w:jc w:val="both"/>
        <w:rPr>
          <w:rFonts w:ascii="Arial" w:hAnsi="Arial" w:cs="Arial"/>
        </w:rPr>
      </w:pPr>
      <w:r w:rsidRPr="00AB2E69">
        <w:rPr>
          <w:rFonts w:ascii="Arial" w:hAnsi="Arial" w:cs="Arial"/>
        </w:rPr>
        <w:t xml:space="preserve"> </w:t>
      </w:r>
    </w:p>
    <w:p w14:paraId="6EEBDF41" w14:textId="77777777" w:rsidR="00AB2E69" w:rsidRPr="00AB2E69" w:rsidRDefault="00AB2E69" w:rsidP="001579EB">
      <w:pPr>
        <w:numPr>
          <w:ilvl w:val="0"/>
          <w:numId w:val="2"/>
        </w:numPr>
        <w:jc w:val="both"/>
        <w:rPr>
          <w:rFonts w:ascii="Arial" w:hAnsi="Arial" w:cs="Arial"/>
          <w:b/>
          <w:szCs w:val="30"/>
          <w:u w:val="single"/>
        </w:rPr>
      </w:pPr>
      <w:r w:rsidRPr="00AB2E69">
        <w:rPr>
          <w:rFonts w:ascii="Arial" w:hAnsi="Arial" w:cs="Arial"/>
        </w:rPr>
        <w:t xml:space="preserve">The first is that the Court is satisfied on the balance of probabilities that the </w:t>
      </w:r>
      <w:r w:rsidR="00D80BE7">
        <w:rPr>
          <w:rFonts w:ascii="Arial" w:hAnsi="Arial" w:cs="Arial"/>
        </w:rPr>
        <w:t>offender</w:t>
      </w:r>
      <w:r w:rsidRPr="00AB2E69">
        <w:rPr>
          <w:rFonts w:ascii="Arial" w:hAnsi="Arial" w:cs="Arial"/>
        </w:rPr>
        <w:t xml:space="preserve"> engaged or threatened to engage in anti-social behaviour. </w:t>
      </w:r>
    </w:p>
    <w:p w14:paraId="69E0A910" w14:textId="77777777" w:rsidR="00AB2E69" w:rsidRPr="00AB2E69" w:rsidRDefault="00AB2E69" w:rsidP="001579EB">
      <w:pPr>
        <w:numPr>
          <w:ilvl w:val="0"/>
          <w:numId w:val="2"/>
        </w:numPr>
        <w:jc w:val="both"/>
        <w:rPr>
          <w:rFonts w:ascii="Arial" w:hAnsi="Arial" w:cs="Arial"/>
          <w:b/>
          <w:szCs w:val="30"/>
          <w:u w:val="single"/>
        </w:rPr>
      </w:pPr>
      <w:r w:rsidRPr="00AB2E69">
        <w:rPr>
          <w:rFonts w:ascii="Arial" w:hAnsi="Arial" w:cs="Arial"/>
        </w:rPr>
        <w:t xml:space="preserve">The second condition is that it is just and convenient to grant the injunction for the purpose of preventing the </w:t>
      </w:r>
      <w:r w:rsidR="00D80BE7">
        <w:rPr>
          <w:rFonts w:ascii="Arial" w:hAnsi="Arial" w:cs="Arial"/>
        </w:rPr>
        <w:t>offender</w:t>
      </w:r>
      <w:r w:rsidRPr="00AB2E69">
        <w:rPr>
          <w:rFonts w:ascii="Arial" w:hAnsi="Arial" w:cs="Arial"/>
        </w:rPr>
        <w:t xml:space="preserve"> from engaging in anti-social behaviour. </w:t>
      </w:r>
    </w:p>
    <w:p w14:paraId="6AC2ACBE" w14:textId="77777777" w:rsidR="00AB2E69" w:rsidRDefault="00AB2E69" w:rsidP="00AB2E69">
      <w:pPr>
        <w:jc w:val="both"/>
        <w:rPr>
          <w:rFonts w:ascii="Arial" w:hAnsi="Arial" w:cs="Arial"/>
        </w:rPr>
      </w:pPr>
    </w:p>
    <w:p w14:paraId="4969DE5F" w14:textId="77777777" w:rsidR="00AB2E69" w:rsidRDefault="00AB2E69" w:rsidP="00AB2E69">
      <w:pPr>
        <w:jc w:val="both"/>
        <w:rPr>
          <w:rFonts w:ascii="Arial" w:hAnsi="Arial" w:cs="Arial"/>
        </w:rPr>
      </w:pPr>
      <w:r w:rsidRPr="00AB2E69">
        <w:rPr>
          <w:rFonts w:ascii="Arial" w:hAnsi="Arial" w:cs="Arial"/>
        </w:rPr>
        <w:t xml:space="preserve">Anti-social behaviour is defined as: </w:t>
      </w:r>
    </w:p>
    <w:p w14:paraId="7D84CB2F" w14:textId="77777777" w:rsidR="00AB2E69" w:rsidRDefault="00AB2E69" w:rsidP="00AB2E69">
      <w:pPr>
        <w:jc w:val="both"/>
        <w:rPr>
          <w:rFonts w:ascii="Arial" w:hAnsi="Arial" w:cs="Arial"/>
        </w:rPr>
      </w:pPr>
    </w:p>
    <w:p w14:paraId="6A73C0C2" w14:textId="77777777" w:rsidR="00317034" w:rsidRPr="00D80BE7" w:rsidRDefault="00AB2E69" w:rsidP="001579EB">
      <w:pPr>
        <w:numPr>
          <w:ilvl w:val="0"/>
          <w:numId w:val="3"/>
        </w:numPr>
        <w:jc w:val="both"/>
        <w:rPr>
          <w:rFonts w:ascii="Arial" w:hAnsi="Arial" w:cs="Arial"/>
          <w:b/>
          <w:szCs w:val="30"/>
          <w:u w:val="single"/>
        </w:rPr>
      </w:pPr>
      <w:r w:rsidRPr="00D80BE7">
        <w:rPr>
          <w:rFonts w:ascii="Arial" w:hAnsi="Arial" w:cs="Arial"/>
        </w:rPr>
        <w:t xml:space="preserve">non-housing related </w:t>
      </w:r>
      <w:r w:rsidR="00D80BE7" w:rsidRPr="00D80BE7">
        <w:rPr>
          <w:rFonts w:ascii="Arial" w:hAnsi="Arial" w:cs="Arial"/>
        </w:rPr>
        <w:t xml:space="preserve">- </w:t>
      </w:r>
      <w:r w:rsidRPr="00D80BE7">
        <w:rPr>
          <w:rFonts w:ascii="Arial" w:hAnsi="Arial" w:cs="Arial"/>
        </w:rPr>
        <w:t xml:space="preserve">the conduct has caused, or is likely to cause, harassment, alarm, or distress to any </w:t>
      </w:r>
      <w:proofErr w:type="gramStart"/>
      <w:r w:rsidRPr="00D80BE7">
        <w:rPr>
          <w:rFonts w:ascii="Arial" w:hAnsi="Arial" w:cs="Arial"/>
        </w:rPr>
        <w:t>person</w:t>
      </w:r>
      <w:proofErr w:type="gramEnd"/>
      <w:r w:rsidRPr="00D80BE7">
        <w:rPr>
          <w:rFonts w:ascii="Arial" w:hAnsi="Arial" w:cs="Arial"/>
        </w:rPr>
        <w:t xml:space="preserve"> </w:t>
      </w:r>
    </w:p>
    <w:p w14:paraId="75B6C7E3" w14:textId="77777777" w:rsidR="00D80BE7" w:rsidRPr="00D80BE7" w:rsidRDefault="00D80BE7" w:rsidP="00D80BE7">
      <w:pPr>
        <w:ind w:left="720"/>
        <w:jc w:val="both"/>
        <w:rPr>
          <w:rFonts w:ascii="Arial" w:hAnsi="Arial" w:cs="Arial"/>
          <w:b/>
          <w:szCs w:val="30"/>
          <w:u w:val="single"/>
        </w:rPr>
      </w:pPr>
    </w:p>
    <w:p w14:paraId="001F4183" w14:textId="77777777" w:rsidR="00D80BE7" w:rsidRPr="00D80BE7" w:rsidRDefault="00AB2E69" w:rsidP="001579EB">
      <w:pPr>
        <w:numPr>
          <w:ilvl w:val="0"/>
          <w:numId w:val="3"/>
        </w:numPr>
        <w:jc w:val="both"/>
        <w:rPr>
          <w:rFonts w:ascii="Arial" w:hAnsi="Arial" w:cs="Arial"/>
          <w:b/>
          <w:szCs w:val="30"/>
          <w:u w:val="single"/>
        </w:rPr>
      </w:pPr>
      <w:r w:rsidRPr="00AB2E69">
        <w:rPr>
          <w:rFonts w:ascii="Arial" w:hAnsi="Arial" w:cs="Arial"/>
        </w:rPr>
        <w:t xml:space="preserve">housing-related </w:t>
      </w:r>
      <w:r w:rsidR="00D80BE7">
        <w:rPr>
          <w:rFonts w:ascii="Arial" w:hAnsi="Arial" w:cs="Arial"/>
        </w:rPr>
        <w:t xml:space="preserve">- </w:t>
      </w:r>
      <w:r w:rsidRPr="00AB2E69">
        <w:rPr>
          <w:rFonts w:ascii="Arial" w:hAnsi="Arial" w:cs="Arial"/>
        </w:rPr>
        <w:t xml:space="preserve">conduct is capable of causing nuisance or annoyance to a person in relation to that person’s occupation of residential </w:t>
      </w:r>
      <w:proofErr w:type="gramStart"/>
      <w:r w:rsidRPr="00AB2E69">
        <w:rPr>
          <w:rFonts w:ascii="Arial" w:hAnsi="Arial" w:cs="Arial"/>
        </w:rPr>
        <w:t>premises</w:t>
      </w:r>
      <w:proofErr w:type="gramEnd"/>
    </w:p>
    <w:p w14:paraId="4A20DD63" w14:textId="77777777" w:rsidR="00D80BE7" w:rsidRDefault="00D80BE7" w:rsidP="00D80BE7">
      <w:pPr>
        <w:pStyle w:val="ListParagraph"/>
        <w:rPr>
          <w:rFonts w:ascii="Arial" w:hAnsi="Arial" w:cs="Arial"/>
        </w:rPr>
      </w:pPr>
    </w:p>
    <w:p w14:paraId="69D9EB8A" w14:textId="77777777" w:rsidR="00A4793C" w:rsidRPr="00AB2E69" w:rsidRDefault="00AB2E69" w:rsidP="001579EB">
      <w:pPr>
        <w:numPr>
          <w:ilvl w:val="0"/>
          <w:numId w:val="3"/>
        </w:numPr>
        <w:jc w:val="both"/>
        <w:rPr>
          <w:rFonts w:ascii="Arial" w:hAnsi="Arial" w:cs="Arial"/>
          <w:b/>
          <w:szCs w:val="30"/>
          <w:u w:val="single"/>
        </w:rPr>
      </w:pPr>
      <w:r w:rsidRPr="00AB2E69">
        <w:rPr>
          <w:rFonts w:ascii="Arial" w:hAnsi="Arial" w:cs="Arial"/>
        </w:rPr>
        <w:t xml:space="preserve"> “</w:t>
      </w:r>
      <w:proofErr w:type="gramStart"/>
      <w:r w:rsidRPr="00AB2E69">
        <w:rPr>
          <w:rFonts w:ascii="Arial" w:hAnsi="Arial" w:cs="Arial"/>
        </w:rPr>
        <w:t>housing</w:t>
      </w:r>
      <w:proofErr w:type="gramEnd"/>
      <w:r w:rsidRPr="00AB2E69">
        <w:rPr>
          <w:rFonts w:ascii="Arial" w:hAnsi="Arial" w:cs="Arial"/>
        </w:rPr>
        <w:t xml:space="preserve">-related” means directly or indirectly relating to </w:t>
      </w:r>
      <w:r w:rsidR="00D80BE7">
        <w:rPr>
          <w:rFonts w:ascii="Arial" w:hAnsi="Arial" w:cs="Arial"/>
        </w:rPr>
        <w:t>the landlord’s</w:t>
      </w:r>
      <w:r w:rsidRPr="00AB2E69">
        <w:rPr>
          <w:rFonts w:ascii="Arial" w:hAnsi="Arial" w:cs="Arial"/>
        </w:rPr>
        <w:t xml:space="preserve"> housing management function</w:t>
      </w:r>
    </w:p>
    <w:p w14:paraId="682E0DC8" w14:textId="77777777" w:rsidR="00D80BE7" w:rsidRDefault="00D80BE7" w:rsidP="00E044CC">
      <w:pPr>
        <w:jc w:val="both"/>
        <w:rPr>
          <w:rFonts w:ascii="Arial" w:hAnsi="Arial" w:cs="Arial"/>
          <w:b/>
          <w:bCs/>
          <w:u w:val="single"/>
        </w:rPr>
      </w:pPr>
    </w:p>
    <w:p w14:paraId="49D3AD23" w14:textId="77777777" w:rsidR="002579F1" w:rsidRDefault="002579F1" w:rsidP="00E044CC">
      <w:pPr>
        <w:jc w:val="both"/>
        <w:rPr>
          <w:rFonts w:ascii="Arial" w:hAnsi="Arial" w:cs="Arial"/>
        </w:rPr>
      </w:pPr>
      <w:r>
        <w:rPr>
          <w:rFonts w:ascii="Arial" w:hAnsi="Arial" w:cs="Arial"/>
          <w:b/>
          <w:bCs/>
          <w:u w:val="single"/>
        </w:rPr>
        <w:t xml:space="preserve">What types of Order </w:t>
      </w:r>
      <w:r w:rsidR="00395453">
        <w:rPr>
          <w:rFonts w:ascii="Arial" w:hAnsi="Arial" w:cs="Arial"/>
          <w:b/>
          <w:bCs/>
          <w:u w:val="single"/>
        </w:rPr>
        <w:t>can</w:t>
      </w:r>
      <w:r>
        <w:rPr>
          <w:rFonts w:ascii="Arial" w:hAnsi="Arial" w:cs="Arial"/>
          <w:b/>
          <w:bCs/>
          <w:u w:val="single"/>
        </w:rPr>
        <w:t xml:space="preserve"> the Court give?</w:t>
      </w:r>
    </w:p>
    <w:p w14:paraId="58A5FEBD" w14:textId="77777777" w:rsidR="002579F1" w:rsidRDefault="002579F1" w:rsidP="00E044CC">
      <w:pPr>
        <w:jc w:val="both"/>
        <w:rPr>
          <w:rFonts w:ascii="Arial" w:hAnsi="Arial" w:cs="Arial"/>
        </w:rPr>
      </w:pPr>
    </w:p>
    <w:p w14:paraId="732A8F7E" w14:textId="77777777" w:rsidR="002579F1" w:rsidRDefault="002579F1" w:rsidP="00E044CC">
      <w:pPr>
        <w:jc w:val="both"/>
        <w:rPr>
          <w:rFonts w:ascii="Arial" w:hAnsi="Arial" w:cs="Arial"/>
        </w:rPr>
      </w:pPr>
      <w:r>
        <w:rPr>
          <w:rFonts w:ascii="Arial" w:hAnsi="Arial" w:cs="Arial"/>
        </w:rPr>
        <w:t>The Order will vary depending on the behaviour but here are some examples:</w:t>
      </w:r>
    </w:p>
    <w:p w14:paraId="42CFD81F" w14:textId="77777777" w:rsidR="002579F1" w:rsidRDefault="002579F1" w:rsidP="00E044CC">
      <w:pPr>
        <w:jc w:val="both"/>
        <w:rPr>
          <w:rFonts w:ascii="Arial" w:hAnsi="Arial" w:cs="Arial"/>
        </w:rPr>
      </w:pPr>
    </w:p>
    <w:p w14:paraId="3AA30723" w14:textId="77777777" w:rsidR="002579F1" w:rsidRDefault="002579F1" w:rsidP="001579EB">
      <w:pPr>
        <w:numPr>
          <w:ilvl w:val="0"/>
          <w:numId w:val="1"/>
        </w:numPr>
        <w:jc w:val="both"/>
        <w:rPr>
          <w:rFonts w:ascii="Arial" w:hAnsi="Arial" w:cs="Arial"/>
        </w:rPr>
      </w:pPr>
      <w:r>
        <w:rPr>
          <w:rFonts w:ascii="Arial" w:hAnsi="Arial" w:cs="Arial"/>
        </w:rPr>
        <w:t>Injunctions can be fixed term or indefinite (minors will be for no longer than 12 months)</w:t>
      </w:r>
    </w:p>
    <w:p w14:paraId="1B559672" w14:textId="77777777" w:rsidR="002579F1" w:rsidRDefault="002579F1" w:rsidP="001579EB">
      <w:pPr>
        <w:numPr>
          <w:ilvl w:val="0"/>
          <w:numId w:val="1"/>
        </w:numPr>
        <w:jc w:val="both"/>
        <w:rPr>
          <w:rFonts w:ascii="Arial" w:hAnsi="Arial" w:cs="Arial"/>
        </w:rPr>
      </w:pPr>
      <w:r w:rsidRPr="002579F1">
        <w:rPr>
          <w:rFonts w:ascii="Arial" w:hAnsi="Arial" w:cs="Arial"/>
          <w:u w:val="single"/>
        </w:rPr>
        <w:t>Ex-</w:t>
      </w:r>
      <w:proofErr w:type="spellStart"/>
      <w:r w:rsidRPr="002579F1">
        <w:rPr>
          <w:rFonts w:ascii="Arial" w:hAnsi="Arial" w:cs="Arial"/>
          <w:u w:val="single"/>
        </w:rPr>
        <w:t>parte</w:t>
      </w:r>
      <w:proofErr w:type="spellEnd"/>
      <w:r w:rsidRPr="002579F1">
        <w:rPr>
          <w:rFonts w:ascii="Arial" w:hAnsi="Arial" w:cs="Arial"/>
          <w:u w:val="single"/>
        </w:rPr>
        <w:t xml:space="preserve"> or emergency injunctions</w:t>
      </w:r>
      <w:r>
        <w:rPr>
          <w:rFonts w:ascii="Arial" w:hAnsi="Arial" w:cs="Arial"/>
        </w:rPr>
        <w:t xml:space="preserve"> can be requested without prior notice to the offender where there is a risk of harm to the </w:t>
      </w:r>
      <w:proofErr w:type="gramStart"/>
      <w:r>
        <w:rPr>
          <w:rFonts w:ascii="Arial" w:hAnsi="Arial" w:cs="Arial"/>
        </w:rPr>
        <w:t>community</w:t>
      </w:r>
      <w:proofErr w:type="gramEnd"/>
    </w:p>
    <w:p w14:paraId="3D7946E4" w14:textId="77777777" w:rsidR="002579F1" w:rsidRDefault="002579F1" w:rsidP="001579EB">
      <w:pPr>
        <w:numPr>
          <w:ilvl w:val="0"/>
          <w:numId w:val="1"/>
        </w:numPr>
        <w:jc w:val="both"/>
        <w:rPr>
          <w:rFonts w:ascii="Arial" w:hAnsi="Arial" w:cs="Arial"/>
        </w:rPr>
      </w:pPr>
      <w:r w:rsidRPr="002579F1">
        <w:rPr>
          <w:rFonts w:ascii="Arial" w:hAnsi="Arial" w:cs="Arial"/>
          <w:u w:val="single"/>
        </w:rPr>
        <w:lastRenderedPageBreak/>
        <w:t>Interim injunctions</w:t>
      </w:r>
      <w:r>
        <w:rPr>
          <w:rFonts w:ascii="Arial" w:hAnsi="Arial" w:cs="Arial"/>
        </w:rPr>
        <w:t xml:space="preserve"> can be awarded initially if risk is identified to </w:t>
      </w:r>
      <w:r w:rsidR="00D80BE7">
        <w:rPr>
          <w:rFonts w:ascii="Arial" w:hAnsi="Arial" w:cs="Arial"/>
        </w:rPr>
        <w:t>enable agencies to put</w:t>
      </w:r>
      <w:r>
        <w:rPr>
          <w:rFonts w:ascii="Arial" w:hAnsi="Arial" w:cs="Arial"/>
        </w:rPr>
        <w:t xml:space="preserve"> protective measures in </w:t>
      </w:r>
      <w:proofErr w:type="gramStart"/>
      <w:r>
        <w:rPr>
          <w:rFonts w:ascii="Arial" w:hAnsi="Arial" w:cs="Arial"/>
        </w:rPr>
        <w:t>place</w:t>
      </w:r>
      <w:proofErr w:type="gramEnd"/>
      <w:r>
        <w:rPr>
          <w:rFonts w:ascii="Arial" w:hAnsi="Arial" w:cs="Arial"/>
        </w:rPr>
        <w:t xml:space="preserve"> </w:t>
      </w:r>
    </w:p>
    <w:p w14:paraId="70A16A7F" w14:textId="77777777" w:rsidR="00395453" w:rsidRDefault="00395453" w:rsidP="001579EB">
      <w:pPr>
        <w:numPr>
          <w:ilvl w:val="0"/>
          <w:numId w:val="1"/>
        </w:numPr>
        <w:jc w:val="both"/>
        <w:rPr>
          <w:rFonts w:ascii="Arial" w:hAnsi="Arial" w:cs="Arial"/>
        </w:rPr>
      </w:pPr>
      <w:r>
        <w:rPr>
          <w:rFonts w:ascii="Arial" w:hAnsi="Arial" w:cs="Arial"/>
        </w:rPr>
        <w:t xml:space="preserve">The Court can attach a </w:t>
      </w:r>
      <w:r w:rsidRPr="00395453">
        <w:rPr>
          <w:rFonts w:ascii="Arial" w:hAnsi="Arial" w:cs="Arial"/>
          <w:u w:val="single"/>
        </w:rPr>
        <w:t>Power of Arrest</w:t>
      </w:r>
      <w:r>
        <w:rPr>
          <w:rFonts w:ascii="Arial" w:hAnsi="Arial" w:cs="Arial"/>
        </w:rPr>
        <w:t xml:space="preserve"> to any prohibition in the injunction where – </w:t>
      </w:r>
    </w:p>
    <w:p w14:paraId="7B7F89E3" w14:textId="77777777" w:rsidR="00395453" w:rsidRDefault="00395453" w:rsidP="001579EB">
      <w:pPr>
        <w:numPr>
          <w:ilvl w:val="1"/>
          <w:numId w:val="1"/>
        </w:numPr>
        <w:jc w:val="both"/>
        <w:rPr>
          <w:rFonts w:ascii="Arial" w:hAnsi="Arial" w:cs="Arial"/>
        </w:rPr>
      </w:pPr>
      <w:r w:rsidRPr="00395453">
        <w:rPr>
          <w:rFonts w:ascii="Arial" w:hAnsi="Arial" w:cs="Arial"/>
        </w:rPr>
        <w:t>the anti-social behaviour includes the use</w:t>
      </w:r>
      <w:r w:rsidR="000E04A3">
        <w:rPr>
          <w:rFonts w:ascii="Arial" w:hAnsi="Arial" w:cs="Arial"/>
        </w:rPr>
        <w:t xml:space="preserve"> of violence or threats to</w:t>
      </w:r>
      <w:r w:rsidRPr="00395453">
        <w:rPr>
          <w:rFonts w:ascii="Arial" w:hAnsi="Arial" w:cs="Arial"/>
        </w:rPr>
        <w:t xml:space="preserve"> use violence against other persons; or</w:t>
      </w:r>
    </w:p>
    <w:p w14:paraId="66D9BE20" w14:textId="77777777" w:rsidR="002579F1" w:rsidRDefault="00395453" w:rsidP="001579EB">
      <w:pPr>
        <w:numPr>
          <w:ilvl w:val="1"/>
          <w:numId w:val="1"/>
        </w:numPr>
        <w:jc w:val="both"/>
        <w:rPr>
          <w:rFonts w:ascii="Arial" w:hAnsi="Arial" w:cs="Arial"/>
        </w:rPr>
      </w:pPr>
      <w:r w:rsidRPr="00395453">
        <w:rPr>
          <w:rFonts w:ascii="Arial" w:hAnsi="Arial" w:cs="Arial"/>
        </w:rPr>
        <w:t xml:space="preserve">there is a significant risk of harm to other persons from the </w:t>
      </w:r>
      <w:proofErr w:type="gramStart"/>
      <w:r w:rsidR="000E04A3">
        <w:rPr>
          <w:rFonts w:ascii="Arial" w:hAnsi="Arial" w:cs="Arial"/>
        </w:rPr>
        <w:t>offender</w:t>
      </w:r>
      <w:proofErr w:type="gramEnd"/>
    </w:p>
    <w:p w14:paraId="4A5FCAC9" w14:textId="77777777" w:rsidR="002579F1" w:rsidRPr="00395453" w:rsidRDefault="00395453" w:rsidP="001579EB">
      <w:pPr>
        <w:numPr>
          <w:ilvl w:val="0"/>
          <w:numId w:val="1"/>
        </w:numPr>
        <w:jc w:val="both"/>
        <w:rPr>
          <w:rFonts w:ascii="Arial" w:hAnsi="Arial" w:cs="Arial"/>
        </w:rPr>
      </w:pPr>
      <w:r>
        <w:rPr>
          <w:rFonts w:ascii="Arial" w:hAnsi="Arial" w:cs="Arial"/>
        </w:rPr>
        <w:t xml:space="preserve">An </w:t>
      </w:r>
      <w:r w:rsidRPr="00395453">
        <w:rPr>
          <w:rFonts w:ascii="Arial" w:hAnsi="Arial" w:cs="Arial"/>
          <w:u w:val="single"/>
        </w:rPr>
        <w:t>Exclusion Order</w:t>
      </w:r>
      <w:r>
        <w:rPr>
          <w:rFonts w:ascii="Arial" w:hAnsi="Arial" w:cs="Arial"/>
        </w:rPr>
        <w:t xml:space="preserve"> may be awarded by the Court prohibiting an offender from visiting a specific location, </w:t>
      </w:r>
      <w:proofErr w:type="gramStart"/>
      <w:r>
        <w:rPr>
          <w:rFonts w:ascii="Arial" w:hAnsi="Arial" w:cs="Arial"/>
        </w:rPr>
        <w:t>street</w:t>
      </w:r>
      <w:proofErr w:type="gramEnd"/>
      <w:r>
        <w:rPr>
          <w:rFonts w:ascii="Arial" w:hAnsi="Arial" w:cs="Arial"/>
        </w:rPr>
        <w:t xml:space="preserve"> or area. They may also exclude an offender from their own home where this is deemed to be a proportionate response to their behaviour.</w:t>
      </w:r>
    </w:p>
    <w:p w14:paraId="57F34FD8" w14:textId="77777777" w:rsidR="002579F1" w:rsidRDefault="002579F1" w:rsidP="00E044CC">
      <w:pPr>
        <w:jc w:val="both"/>
        <w:rPr>
          <w:rFonts w:ascii="Arial" w:hAnsi="Arial" w:cs="Arial"/>
          <w:b/>
          <w:bCs/>
          <w:u w:val="single"/>
        </w:rPr>
      </w:pPr>
    </w:p>
    <w:p w14:paraId="2C4AEE9B" w14:textId="77777777" w:rsidR="002579F1" w:rsidRDefault="002579F1" w:rsidP="00E044CC">
      <w:pPr>
        <w:jc w:val="both"/>
        <w:rPr>
          <w:rFonts w:ascii="Arial" w:hAnsi="Arial" w:cs="Arial"/>
          <w:b/>
          <w:bCs/>
          <w:u w:val="single"/>
        </w:rPr>
      </w:pPr>
    </w:p>
    <w:p w14:paraId="51B081AE" w14:textId="77777777" w:rsidR="00E044CC" w:rsidRPr="004D56BC" w:rsidRDefault="00E044CC" w:rsidP="00E044CC">
      <w:pPr>
        <w:jc w:val="both"/>
        <w:rPr>
          <w:rFonts w:ascii="Arial" w:hAnsi="Arial" w:cs="Arial"/>
          <w:b/>
          <w:bCs/>
          <w:u w:val="single"/>
        </w:rPr>
      </w:pPr>
      <w:r w:rsidRPr="004D56BC">
        <w:rPr>
          <w:rFonts w:ascii="Arial" w:hAnsi="Arial" w:cs="Arial"/>
          <w:b/>
          <w:bCs/>
          <w:u w:val="single"/>
        </w:rPr>
        <w:t xml:space="preserve">Who can </w:t>
      </w:r>
      <w:r w:rsidR="004D56BC">
        <w:rPr>
          <w:rFonts w:ascii="Arial" w:hAnsi="Arial" w:cs="Arial"/>
          <w:b/>
          <w:bCs/>
          <w:u w:val="single"/>
        </w:rPr>
        <w:t>an</w:t>
      </w:r>
      <w:r w:rsidRPr="004D56BC">
        <w:rPr>
          <w:rFonts w:ascii="Arial" w:hAnsi="Arial" w:cs="Arial"/>
          <w:b/>
          <w:bCs/>
          <w:u w:val="single"/>
        </w:rPr>
        <w:t xml:space="preserve"> injunction be issued against? </w:t>
      </w:r>
    </w:p>
    <w:p w14:paraId="7B6BD416" w14:textId="77777777" w:rsidR="00E044CC" w:rsidRDefault="00E044CC" w:rsidP="00E044CC">
      <w:pPr>
        <w:jc w:val="both"/>
        <w:rPr>
          <w:rFonts w:ascii="Arial" w:hAnsi="Arial" w:cs="Arial"/>
        </w:rPr>
      </w:pPr>
    </w:p>
    <w:p w14:paraId="72B45510" w14:textId="77777777" w:rsidR="00A4793C" w:rsidRPr="00E044CC" w:rsidRDefault="00E044CC" w:rsidP="00E044CC">
      <w:pPr>
        <w:jc w:val="both"/>
        <w:rPr>
          <w:rFonts w:ascii="Arial" w:hAnsi="Arial" w:cs="Arial"/>
          <w:b/>
          <w:szCs w:val="30"/>
          <w:u w:val="single"/>
        </w:rPr>
      </w:pPr>
      <w:r w:rsidRPr="00E044CC">
        <w:rPr>
          <w:rFonts w:ascii="Arial" w:hAnsi="Arial" w:cs="Arial"/>
        </w:rPr>
        <w:t>A court may grant the injunction against anyone who is 10 years of age or over. Applications against individuals who are 18 years of age or over must be made in the county court or High Court, and applications against individuals who are under 18 must be made in the youth court.</w:t>
      </w:r>
    </w:p>
    <w:p w14:paraId="0B30376F" w14:textId="77777777" w:rsidR="00A4793C" w:rsidRDefault="00A4793C" w:rsidP="00A4793C">
      <w:pPr>
        <w:jc w:val="both"/>
        <w:rPr>
          <w:rFonts w:ascii="Arial" w:hAnsi="Arial" w:cs="Arial"/>
          <w:b/>
          <w:szCs w:val="30"/>
          <w:u w:val="single"/>
        </w:rPr>
      </w:pPr>
    </w:p>
    <w:p w14:paraId="53CB5119" w14:textId="77777777" w:rsidR="00A4793C" w:rsidRDefault="00A4793C" w:rsidP="00A4793C">
      <w:pPr>
        <w:jc w:val="both"/>
        <w:rPr>
          <w:rFonts w:ascii="Arial" w:hAnsi="Arial" w:cs="Arial"/>
          <w:b/>
          <w:szCs w:val="30"/>
          <w:u w:val="single"/>
        </w:rPr>
      </w:pPr>
    </w:p>
    <w:p w14:paraId="39F319A1" w14:textId="77777777" w:rsidR="004C567D" w:rsidRDefault="00D20E99" w:rsidP="00A4793C">
      <w:pPr>
        <w:jc w:val="both"/>
        <w:rPr>
          <w:rFonts w:ascii="Arial" w:hAnsi="Arial" w:cs="Arial"/>
          <w:bCs/>
          <w:szCs w:val="30"/>
        </w:rPr>
      </w:pPr>
      <w:r>
        <w:rPr>
          <w:rFonts w:ascii="Arial" w:hAnsi="Arial" w:cs="Arial"/>
          <w:b/>
          <w:szCs w:val="30"/>
          <w:u w:val="single"/>
        </w:rPr>
        <w:t>What happens if I breach my injunction?</w:t>
      </w:r>
    </w:p>
    <w:p w14:paraId="3E2AFE65" w14:textId="77777777" w:rsidR="00D20E99" w:rsidRDefault="00D20E99" w:rsidP="00A4793C">
      <w:pPr>
        <w:jc w:val="both"/>
        <w:rPr>
          <w:rFonts w:ascii="Arial" w:hAnsi="Arial" w:cs="Arial"/>
          <w:bCs/>
          <w:szCs w:val="30"/>
        </w:rPr>
      </w:pPr>
    </w:p>
    <w:p w14:paraId="126E386B" w14:textId="77777777" w:rsidR="00D20E99" w:rsidRDefault="00D20E99" w:rsidP="00A4793C">
      <w:pPr>
        <w:jc w:val="both"/>
        <w:rPr>
          <w:rFonts w:ascii="Arial" w:hAnsi="Arial" w:cs="Arial"/>
          <w:bCs/>
          <w:szCs w:val="30"/>
        </w:rPr>
      </w:pPr>
      <w:r>
        <w:rPr>
          <w:rFonts w:ascii="Arial" w:hAnsi="Arial" w:cs="Arial"/>
          <w:bCs/>
          <w:szCs w:val="30"/>
        </w:rPr>
        <w:t xml:space="preserve">For adults 18 years and over, breach of an injunction can be punishable by up to 2 years in prison </w:t>
      </w:r>
      <w:r w:rsidR="00317034">
        <w:rPr>
          <w:rFonts w:ascii="Arial" w:hAnsi="Arial" w:cs="Arial"/>
          <w:bCs/>
          <w:szCs w:val="30"/>
        </w:rPr>
        <w:t xml:space="preserve">(3 months for minors) </w:t>
      </w:r>
      <w:r>
        <w:rPr>
          <w:rFonts w:ascii="Arial" w:hAnsi="Arial" w:cs="Arial"/>
          <w:bCs/>
          <w:szCs w:val="30"/>
        </w:rPr>
        <w:t>and/or an unlimited fine.  The sentence is not for your conduct, it is for contempt of court.</w:t>
      </w:r>
    </w:p>
    <w:sectPr w:rsidR="00D20E99" w:rsidSect="008D11BC">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248A" w14:textId="77777777" w:rsidR="008A7694" w:rsidRDefault="008A7694" w:rsidP="00F967CB">
      <w:r>
        <w:separator/>
      </w:r>
    </w:p>
  </w:endnote>
  <w:endnote w:type="continuationSeparator" w:id="0">
    <w:p w14:paraId="5A3F6A17" w14:textId="77777777" w:rsidR="008A7694" w:rsidRDefault="008A7694" w:rsidP="00F9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PT Sans">
    <w:panose1 w:val="020B0503020203020204"/>
    <w:charset w:val="4D"/>
    <w:family w:val="swiss"/>
    <w:pitch w:val="variable"/>
    <w:sig w:usb0="A00002EF" w:usb1="5000204B" w:usb2="00000000" w:usb3="00000000" w:csb0="00000097" w:csb1="00000000"/>
  </w:font>
  <w:font w:name="Segoe UI">
    <w:panose1 w:val="020B0604020202020204"/>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882C" w14:textId="77777777" w:rsidR="005365E5" w:rsidRDefault="001579EB">
    <w:pPr>
      <w:pStyle w:val="Footer"/>
    </w:pPr>
    <w:r>
      <w:rPr>
        <w:noProof/>
      </w:rPr>
      <w:drawing>
        <wp:anchor distT="152400" distB="152400" distL="152400" distR="152400" simplePos="0" relativeHeight="251657728" behindDoc="1" locked="0" layoutInCell="1" allowOverlap="1" wp14:anchorId="64BAA938" wp14:editId="36C025E4">
          <wp:simplePos x="0" y="0"/>
          <wp:positionH relativeFrom="page">
            <wp:posOffset>310515</wp:posOffset>
          </wp:positionH>
          <wp:positionV relativeFrom="page">
            <wp:posOffset>9176385</wp:posOffset>
          </wp:positionV>
          <wp:extent cx="6927215" cy="1218565"/>
          <wp:effectExtent l="0" t="0" r="0" b="0"/>
          <wp:wrapNone/>
          <wp:docPr id="7"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215"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71E8A" w14:textId="77777777" w:rsidR="008A7694" w:rsidRDefault="008A7694" w:rsidP="00F967CB">
      <w:r>
        <w:separator/>
      </w:r>
    </w:p>
  </w:footnote>
  <w:footnote w:type="continuationSeparator" w:id="0">
    <w:p w14:paraId="4F287CE2" w14:textId="77777777" w:rsidR="008A7694" w:rsidRDefault="008A7694" w:rsidP="00F96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90AF" w14:textId="77777777" w:rsidR="007F07CD" w:rsidRPr="00162C18" w:rsidRDefault="00162C18" w:rsidP="009E2F48">
    <w:pPr>
      <w:pStyle w:val="Header"/>
      <w:tabs>
        <w:tab w:val="clear" w:pos="4513"/>
        <w:tab w:val="clear" w:pos="9026"/>
        <w:tab w:val="left" w:pos="4945"/>
        <w:tab w:val="right" w:pos="8306"/>
      </w:tabs>
      <w:rPr>
        <w:rFonts w:ascii="Calibri Light" w:hAnsi="Calibri Light" w:cs="Calibri Light"/>
        <w:b/>
        <w:bCs/>
        <w:color w:val="A6A6A6"/>
        <w:sz w:val="32"/>
        <w:szCs w:val="32"/>
      </w:rPr>
    </w:pPr>
    <w:r w:rsidRPr="00DF3E89">
      <w:rPr>
        <w:rFonts w:ascii="Arial" w:hAnsi="Arial" w:cs="Arial"/>
        <w:b/>
        <w:bCs/>
        <w:color w:val="45B0E1"/>
        <w:sz w:val="72"/>
        <w:szCs w:val="72"/>
      </w:rPr>
      <w:t>Factsheet</w:t>
    </w:r>
    <w:r>
      <w:rPr>
        <w:rFonts w:ascii="Calibri Light" w:hAnsi="Calibri Light" w:cs="Calibri Light"/>
        <w:b/>
        <w:bCs/>
        <w:color w:val="A6A6A6"/>
        <w:sz w:val="32"/>
        <w:szCs w:val="32"/>
      </w:rPr>
      <w:tab/>
    </w:r>
    <w:r w:rsidR="009E2F48">
      <w:rPr>
        <w:rFonts w:ascii="Calibri Light" w:hAnsi="Calibri Light" w:cs="Calibri Light"/>
        <w:b/>
        <w:bCs/>
        <w:color w:val="A6A6A6"/>
        <w:sz w:val="32"/>
        <w:szCs w:val="32"/>
      </w:rPr>
      <w:tab/>
    </w:r>
    <w:r w:rsidR="001579EB" w:rsidRPr="00E47AF7">
      <w:rPr>
        <w:noProof/>
      </w:rPr>
      <w:drawing>
        <wp:inline distT="0" distB="0" distL="0" distR="0" wp14:anchorId="30D2F8AF" wp14:editId="760EF454">
          <wp:extent cx="1510030" cy="626745"/>
          <wp:effectExtent l="0" t="0" r="0" b="0"/>
          <wp:docPr id="1"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0" cy="626745"/>
                  </a:xfrm>
                  <a:prstGeom prst="rect">
                    <a:avLst/>
                  </a:prstGeom>
                  <a:noFill/>
                  <a:ln>
                    <a:noFill/>
                  </a:ln>
                </pic:spPr>
              </pic:pic>
            </a:graphicData>
          </a:graphic>
        </wp:inline>
      </w:drawing>
    </w:r>
  </w:p>
  <w:p w14:paraId="28485D32" w14:textId="77777777" w:rsidR="00F967CB" w:rsidRPr="00162C18" w:rsidRDefault="007F07CD" w:rsidP="00162C18">
    <w:pPr>
      <w:pStyle w:val="Header"/>
      <w:tabs>
        <w:tab w:val="clear" w:pos="4513"/>
        <w:tab w:val="clear" w:pos="9026"/>
        <w:tab w:val="center" w:pos="4153"/>
        <w:tab w:val="right" w:pos="8306"/>
      </w:tabs>
      <w:jc w:val="center"/>
      <w:rPr>
        <w:sz w:val="44"/>
        <w:szCs w:val="44"/>
      </w:rPr>
    </w:pPr>
    <w:r>
      <w:rPr>
        <w:noProof/>
      </w:rPr>
      <w:tab/>
    </w:r>
    <w:r w:rsidRPr="00162C18">
      <w:rPr>
        <w:noProof/>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535E"/>
    <w:multiLevelType w:val="hybridMultilevel"/>
    <w:tmpl w:val="E2D2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60349"/>
    <w:multiLevelType w:val="hybridMultilevel"/>
    <w:tmpl w:val="58C8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640D2F"/>
    <w:multiLevelType w:val="hybridMultilevel"/>
    <w:tmpl w:val="FCDC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827003">
    <w:abstractNumId w:val="0"/>
  </w:num>
  <w:num w:numId="2" w16cid:durableId="1169174012">
    <w:abstractNumId w:val="2"/>
  </w:num>
  <w:num w:numId="3" w16cid:durableId="12224072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C1"/>
    <w:rsid w:val="000077CA"/>
    <w:rsid w:val="00055024"/>
    <w:rsid w:val="0005638F"/>
    <w:rsid w:val="00076B6D"/>
    <w:rsid w:val="00082079"/>
    <w:rsid w:val="000824C9"/>
    <w:rsid w:val="000A073A"/>
    <w:rsid w:val="000A236F"/>
    <w:rsid w:val="000B18C9"/>
    <w:rsid w:val="000B4602"/>
    <w:rsid w:val="000C43B4"/>
    <w:rsid w:val="000C4A77"/>
    <w:rsid w:val="000E04A3"/>
    <w:rsid w:val="000E6047"/>
    <w:rsid w:val="000E6DDB"/>
    <w:rsid w:val="000F2DC4"/>
    <w:rsid w:val="000F3BE2"/>
    <w:rsid w:val="00102E53"/>
    <w:rsid w:val="00117014"/>
    <w:rsid w:val="00123F73"/>
    <w:rsid w:val="00134C9B"/>
    <w:rsid w:val="00147712"/>
    <w:rsid w:val="001566EC"/>
    <w:rsid w:val="00156A9F"/>
    <w:rsid w:val="001579EB"/>
    <w:rsid w:val="00162C18"/>
    <w:rsid w:val="00175448"/>
    <w:rsid w:val="00176FBF"/>
    <w:rsid w:val="001864B7"/>
    <w:rsid w:val="00187701"/>
    <w:rsid w:val="00193A36"/>
    <w:rsid w:val="00194F15"/>
    <w:rsid w:val="001A06E9"/>
    <w:rsid w:val="001A49A7"/>
    <w:rsid w:val="001B71B7"/>
    <w:rsid w:val="001C2271"/>
    <w:rsid w:val="001F0E88"/>
    <w:rsid w:val="00213B2E"/>
    <w:rsid w:val="00230A16"/>
    <w:rsid w:val="00236DF3"/>
    <w:rsid w:val="00247315"/>
    <w:rsid w:val="002579F1"/>
    <w:rsid w:val="00266ED7"/>
    <w:rsid w:val="00286F48"/>
    <w:rsid w:val="002926D2"/>
    <w:rsid w:val="002A61BD"/>
    <w:rsid w:val="002A7470"/>
    <w:rsid w:val="002B493B"/>
    <w:rsid w:val="002B59C0"/>
    <w:rsid w:val="002C5D6B"/>
    <w:rsid w:val="002C7E39"/>
    <w:rsid w:val="002D3048"/>
    <w:rsid w:val="002E0161"/>
    <w:rsid w:val="002E3E36"/>
    <w:rsid w:val="002F3B04"/>
    <w:rsid w:val="002F5165"/>
    <w:rsid w:val="002F5E6B"/>
    <w:rsid w:val="003153B7"/>
    <w:rsid w:val="00317034"/>
    <w:rsid w:val="00321241"/>
    <w:rsid w:val="00341FF1"/>
    <w:rsid w:val="00346879"/>
    <w:rsid w:val="0035179F"/>
    <w:rsid w:val="003520C0"/>
    <w:rsid w:val="003776BC"/>
    <w:rsid w:val="00393A68"/>
    <w:rsid w:val="00394022"/>
    <w:rsid w:val="003949B3"/>
    <w:rsid w:val="00395453"/>
    <w:rsid w:val="003A082D"/>
    <w:rsid w:val="003B161F"/>
    <w:rsid w:val="003B54FC"/>
    <w:rsid w:val="003C23C8"/>
    <w:rsid w:val="003D7E77"/>
    <w:rsid w:val="003E564D"/>
    <w:rsid w:val="003E7A96"/>
    <w:rsid w:val="003F6C25"/>
    <w:rsid w:val="003F79B7"/>
    <w:rsid w:val="004074B5"/>
    <w:rsid w:val="004143B9"/>
    <w:rsid w:val="004318EF"/>
    <w:rsid w:val="00431CA6"/>
    <w:rsid w:val="004427DF"/>
    <w:rsid w:val="0046205B"/>
    <w:rsid w:val="00463A7D"/>
    <w:rsid w:val="0048266E"/>
    <w:rsid w:val="004B56E3"/>
    <w:rsid w:val="004B6A8C"/>
    <w:rsid w:val="004C567D"/>
    <w:rsid w:val="004C5C31"/>
    <w:rsid w:val="004D56BC"/>
    <w:rsid w:val="004D56D9"/>
    <w:rsid w:val="004D6D55"/>
    <w:rsid w:val="004E7C6B"/>
    <w:rsid w:val="004F4F3C"/>
    <w:rsid w:val="004F540A"/>
    <w:rsid w:val="005119F7"/>
    <w:rsid w:val="00514A01"/>
    <w:rsid w:val="005365E5"/>
    <w:rsid w:val="00557400"/>
    <w:rsid w:val="00581423"/>
    <w:rsid w:val="00582EF3"/>
    <w:rsid w:val="00595EB9"/>
    <w:rsid w:val="005B0C16"/>
    <w:rsid w:val="005B1033"/>
    <w:rsid w:val="005B1153"/>
    <w:rsid w:val="005B6570"/>
    <w:rsid w:val="005E037C"/>
    <w:rsid w:val="005E1E1A"/>
    <w:rsid w:val="005E2BC8"/>
    <w:rsid w:val="005E5AED"/>
    <w:rsid w:val="00606AE1"/>
    <w:rsid w:val="006168C7"/>
    <w:rsid w:val="00626894"/>
    <w:rsid w:val="006431E3"/>
    <w:rsid w:val="0064548C"/>
    <w:rsid w:val="00645D7F"/>
    <w:rsid w:val="00650D82"/>
    <w:rsid w:val="006578FF"/>
    <w:rsid w:val="00661800"/>
    <w:rsid w:val="00681249"/>
    <w:rsid w:val="006B05AC"/>
    <w:rsid w:val="006B31F8"/>
    <w:rsid w:val="006C3F17"/>
    <w:rsid w:val="006D5A90"/>
    <w:rsid w:val="006D613D"/>
    <w:rsid w:val="006F0322"/>
    <w:rsid w:val="006F15C2"/>
    <w:rsid w:val="006F6A27"/>
    <w:rsid w:val="00740ADD"/>
    <w:rsid w:val="00747D1F"/>
    <w:rsid w:val="00751F7D"/>
    <w:rsid w:val="0078040E"/>
    <w:rsid w:val="007809CA"/>
    <w:rsid w:val="00787845"/>
    <w:rsid w:val="0079729A"/>
    <w:rsid w:val="007A4A6E"/>
    <w:rsid w:val="007B565F"/>
    <w:rsid w:val="007C59EA"/>
    <w:rsid w:val="007D2349"/>
    <w:rsid w:val="007E0CFC"/>
    <w:rsid w:val="007F07CD"/>
    <w:rsid w:val="007F33F1"/>
    <w:rsid w:val="00800A85"/>
    <w:rsid w:val="00827162"/>
    <w:rsid w:val="00831D8F"/>
    <w:rsid w:val="0083302E"/>
    <w:rsid w:val="0083469E"/>
    <w:rsid w:val="008350AF"/>
    <w:rsid w:val="008425F6"/>
    <w:rsid w:val="008457E6"/>
    <w:rsid w:val="00846481"/>
    <w:rsid w:val="008739E1"/>
    <w:rsid w:val="00874955"/>
    <w:rsid w:val="00891661"/>
    <w:rsid w:val="00893217"/>
    <w:rsid w:val="008A0BEA"/>
    <w:rsid w:val="008A3D21"/>
    <w:rsid w:val="008A7694"/>
    <w:rsid w:val="008C5D38"/>
    <w:rsid w:val="008D092E"/>
    <w:rsid w:val="008D11BC"/>
    <w:rsid w:val="008D45A8"/>
    <w:rsid w:val="008F5267"/>
    <w:rsid w:val="008F6691"/>
    <w:rsid w:val="00920F89"/>
    <w:rsid w:val="00931D5A"/>
    <w:rsid w:val="0093370E"/>
    <w:rsid w:val="00952EBF"/>
    <w:rsid w:val="00956DC2"/>
    <w:rsid w:val="009616F7"/>
    <w:rsid w:val="009650AA"/>
    <w:rsid w:val="00965110"/>
    <w:rsid w:val="009737F5"/>
    <w:rsid w:val="009916A6"/>
    <w:rsid w:val="009943DF"/>
    <w:rsid w:val="009C38DA"/>
    <w:rsid w:val="009D1BBF"/>
    <w:rsid w:val="009D55CA"/>
    <w:rsid w:val="009E19C4"/>
    <w:rsid w:val="009E2F48"/>
    <w:rsid w:val="009F0841"/>
    <w:rsid w:val="009F27C0"/>
    <w:rsid w:val="00A03F5D"/>
    <w:rsid w:val="00A06DF2"/>
    <w:rsid w:val="00A076AB"/>
    <w:rsid w:val="00A11435"/>
    <w:rsid w:val="00A148B5"/>
    <w:rsid w:val="00A31E1F"/>
    <w:rsid w:val="00A36DA7"/>
    <w:rsid w:val="00A43C41"/>
    <w:rsid w:val="00A46048"/>
    <w:rsid w:val="00A4793C"/>
    <w:rsid w:val="00A47B11"/>
    <w:rsid w:val="00A633F1"/>
    <w:rsid w:val="00A66E97"/>
    <w:rsid w:val="00A729D8"/>
    <w:rsid w:val="00A762C7"/>
    <w:rsid w:val="00AA008D"/>
    <w:rsid w:val="00AA0904"/>
    <w:rsid w:val="00AA73A1"/>
    <w:rsid w:val="00AB2E69"/>
    <w:rsid w:val="00AC76AF"/>
    <w:rsid w:val="00AE32DE"/>
    <w:rsid w:val="00AE7E89"/>
    <w:rsid w:val="00AF0FFF"/>
    <w:rsid w:val="00B03351"/>
    <w:rsid w:val="00B36DD7"/>
    <w:rsid w:val="00B5400C"/>
    <w:rsid w:val="00B5435B"/>
    <w:rsid w:val="00B57353"/>
    <w:rsid w:val="00B612E5"/>
    <w:rsid w:val="00B72A7A"/>
    <w:rsid w:val="00B749EF"/>
    <w:rsid w:val="00B774A0"/>
    <w:rsid w:val="00B83470"/>
    <w:rsid w:val="00B869DB"/>
    <w:rsid w:val="00B90EA9"/>
    <w:rsid w:val="00BA2F66"/>
    <w:rsid w:val="00BA4631"/>
    <w:rsid w:val="00BB0011"/>
    <w:rsid w:val="00BB36A7"/>
    <w:rsid w:val="00BB36B0"/>
    <w:rsid w:val="00BD785F"/>
    <w:rsid w:val="00BE0F17"/>
    <w:rsid w:val="00BE33DE"/>
    <w:rsid w:val="00BE5CB8"/>
    <w:rsid w:val="00BF3290"/>
    <w:rsid w:val="00C04DDE"/>
    <w:rsid w:val="00C41739"/>
    <w:rsid w:val="00C44472"/>
    <w:rsid w:val="00C530AE"/>
    <w:rsid w:val="00C53F0B"/>
    <w:rsid w:val="00C6286D"/>
    <w:rsid w:val="00C7088A"/>
    <w:rsid w:val="00C82029"/>
    <w:rsid w:val="00C92856"/>
    <w:rsid w:val="00C94320"/>
    <w:rsid w:val="00CC1526"/>
    <w:rsid w:val="00CC2712"/>
    <w:rsid w:val="00CE2A4D"/>
    <w:rsid w:val="00CE78BD"/>
    <w:rsid w:val="00CF3DFA"/>
    <w:rsid w:val="00CF6A1F"/>
    <w:rsid w:val="00CF7400"/>
    <w:rsid w:val="00D02CA3"/>
    <w:rsid w:val="00D032E6"/>
    <w:rsid w:val="00D10E32"/>
    <w:rsid w:val="00D1457A"/>
    <w:rsid w:val="00D20E99"/>
    <w:rsid w:val="00D24AFA"/>
    <w:rsid w:val="00D3437A"/>
    <w:rsid w:val="00D359DF"/>
    <w:rsid w:val="00D3676E"/>
    <w:rsid w:val="00D429CF"/>
    <w:rsid w:val="00D43082"/>
    <w:rsid w:val="00D80BE7"/>
    <w:rsid w:val="00D92323"/>
    <w:rsid w:val="00D972F2"/>
    <w:rsid w:val="00DA7058"/>
    <w:rsid w:val="00DB6C41"/>
    <w:rsid w:val="00DC746A"/>
    <w:rsid w:val="00DC7FD9"/>
    <w:rsid w:val="00DD05A7"/>
    <w:rsid w:val="00DD0842"/>
    <w:rsid w:val="00DF3E89"/>
    <w:rsid w:val="00DF4A39"/>
    <w:rsid w:val="00E044CC"/>
    <w:rsid w:val="00E0794E"/>
    <w:rsid w:val="00E10152"/>
    <w:rsid w:val="00E61160"/>
    <w:rsid w:val="00E71B62"/>
    <w:rsid w:val="00E732B9"/>
    <w:rsid w:val="00E745DD"/>
    <w:rsid w:val="00E80180"/>
    <w:rsid w:val="00E878E6"/>
    <w:rsid w:val="00EA0734"/>
    <w:rsid w:val="00EA1F64"/>
    <w:rsid w:val="00EA6136"/>
    <w:rsid w:val="00EB1884"/>
    <w:rsid w:val="00EC5471"/>
    <w:rsid w:val="00EC7D4C"/>
    <w:rsid w:val="00ED7101"/>
    <w:rsid w:val="00EE2840"/>
    <w:rsid w:val="00EF4F1F"/>
    <w:rsid w:val="00EF7E3E"/>
    <w:rsid w:val="00F02009"/>
    <w:rsid w:val="00F04E17"/>
    <w:rsid w:val="00F13CB0"/>
    <w:rsid w:val="00F17F7B"/>
    <w:rsid w:val="00F21ED3"/>
    <w:rsid w:val="00F22EB9"/>
    <w:rsid w:val="00F31012"/>
    <w:rsid w:val="00F3594F"/>
    <w:rsid w:val="00F42BDF"/>
    <w:rsid w:val="00F442DF"/>
    <w:rsid w:val="00F571DF"/>
    <w:rsid w:val="00F61B59"/>
    <w:rsid w:val="00F66D0D"/>
    <w:rsid w:val="00F748CD"/>
    <w:rsid w:val="00F96504"/>
    <w:rsid w:val="00F967CB"/>
    <w:rsid w:val="00FA0B41"/>
    <w:rsid w:val="00FA16CD"/>
    <w:rsid w:val="00FA5248"/>
    <w:rsid w:val="00FB4C02"/>
    <w:rsid w:val="00FC65C1"/>
    <w:rsid w:val="00FC728C"/>
    <w:rsid w:val="00FD52B3"/>
    <w:rsid w:val="00FF4623"/>
    <w:rsid w:val="00FF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61B2DA6"/>
  <w15:chartTrackingRefBased/>
  <w15:docId w15:val="{7405725F-EF45-7D4E-A653-850473D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972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93B"/>
    <w:pPr>
      <w:keepNext/>
      <w:outlineLvl w:val="1"/>
    </w:pPr>
    <w:rPr>
      <w:rFonts w:ascii="Times" w:eastAsia="Times" w:hAnsi="Times"/>
      <w:i/>
      <w:color w:val="411D0E"/>
      <w:szCs w:val="20"/>
      <w:lang w:val="en-US" w:eastAsia="en-US"/>
    </w:rPr>
  </w:style>
  <w:style w:type="paragraph" w:styleId="Heading3">
    <w:name w:val="heading 3"/>
    <w:basedOn w:val="Normal"/>
    <w:next w:val="Normal"/>
    <w:qFormat/>
    <w:rsid w:val="00D972F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C65C1"/>
    <w:rPr>
      <w:color w:val="0000FF"/>
      <w:u w:val="single"/>
    </w:rPr>
  </w:style>
  <w:style w:type="character" w:customStyle="1" w:styleId="Heading2Char">
    <w:name w:val="Heading 2 Char"/>
    <w:link w:val="Heading2"/>
    <w:rsid w:val="002B493B"/>
    <w:rPr>
      <w:rFonts w:ascii="Times" w:eastAsia="Times" w:hAnsi="Times"/>
      <w:i/>
      <w:color w:val="411D0E"/>
      <w:sz w:val="24"/>
      <w:lang w:val="en-US" w:eastAsia="en-US" w:bidi="ar-SA"/>
    </w:rPr>
  </w:style>
  <w:style w:type="character" w:styleId="Strong">
    <w:name w:val="Strong"/>
    <w:qFormat/>
    <w:rsid w:val="00F42BDF"/>
    <w:rPr>
      <w:b/>
      <w:bCs/>
    </w:rPr>
  </w:style>
  <w:style w:type="paragraph" w:styleId="NormalWeb">
    <w:name w:val="Normal (Web)"/>
    <w:basedOn w:val="Normal"/>
    <w:rsid w:val="00D10E32"/>
    <w:pPr>
      <w:spacing w:after="300" w:line="336" w:lineRule="atLeast"/>
    </w:pPr>
    <w:rPr>
      <w:rFonts w:ascii="PT Sans" w:hAnsi="PT Sans"/>
    </w:rPr>
  </w:style>
  <w:style w:type="character" w:customStyle="1" w:styleId="apple-style-span">
    <w:name w:val="apple-style-span"/>
    <w:basedOn w:val="DefaultParagraphFont"/>
    <w:rsid w:val="002E0161"/>
  </w:style>
  <w:style w:type="table" w:styleId="TableGrid">
    <w:name w:val="Table Grid"/>
    <w:basedOn w:val="TableNormal"/>
    <w:rsid w:val="00EA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nter">
    <w:name w:val="center"/>
    <w:basedOn w:val="DefaultParagraphFont"/>
    <w:rsid w:val="00E878E6"/>
  </w:style>
  <w:style w:type="paragraph" w:styleId="BalloonText">
    <w:name w:val="Balloon Text"/>
    <w:basedOn w:val="Normal"/>
    <w:link w:val="BalloonTextChar"/>
    <w:rsid w:val="006C3F17"/>
    <w:rPr>
      <w:rFonts w:ascii="Segoe UI" w:hAnsi="Segoe UI" w:cs="Segoe UI"/>
      <w:sz w:val="18"/>
      <w:szCs w:val="18"/>
    </w:rPr>
  </w:style>
  <w:style w:type="character" w:customStyle="1" w:styleId="BalloonTextChar">
    <w:name w:val="Balloon Text Char"/>
    <w:link w:val="BalloonText"/>
    <w:rsid w:val="006C3F17"/>
    <w:rPr>
      <w:rFonts w:ascii="Segoe UI" w:hAnsi="Segoe UI" w:cs="Segoe UI"/>
      <w:sz w:val="18"/>
      <w:szCs w:val="18"/>
    </w:rPr>
  </w:style>
  <w:style w:type="paragraph" w:styleId="Header">
    <w:name w:val="header"/>
    <w:basedOn w:val="Normal"/>
    <w:link w:val="HeaderChar"/>
    <w:uiPriority w:val="99"/>
    <w:rsid w:val="00F967CB"/>
    <w:pPr>
      <w:tabs>
        <w:tab w:val="center" w:pos="4513"/>
        <w:tab w:val="right" w:pos="9026"/>
      </w:tabs>
    </w:pPr>
  </w:style>
  <w:style w:type="character" w:customStyle="1" w:styleId="HeaderChar">
    <w:name w:val="Header Char"/>
    <w:link w:val="Header"/>
    <w:uiPriority w:val="99"/>
    <w:rsid w:val="00F967CB"/>
    <w:rPr>
      <w:sz w:val="24"/>
      <w:szCs w:val="24"/>
    </w:rPr>
  </w:style>
  <w:style w:type="paragraph" w:styleId="Footer">
    <w:name w:val="footer"/>
    <w:basedOn w:val="Normal"/>
    <w:link w:val="FooterChar"/>
    <w:rsid w:val="00F967CB"/>
    <w:pPr>
      <w:tabs>
        <w:tab w:val="center" w:pos="4513"/>
        <w:tab w:val="right" w:pos="9026"/>
      </w:tabs>
    </w:pPr>
  </w:style>
  <w:style w:type="character" w:customStyle="1" w:styleId="FooterChar">
    <w:name w:val="Footer Char"/>
    <w:link w:val="Footer"/>
    <w:rsid w:val="00F967CB"/>
    <w:rPr>
      <w:sz w:val="24"/>
      <w:szCs w:val="24"/>
    </w:rPr>
  </w:style>
  <w:style w:type="character" w:styleId="UnresolvedMention">
    <w:name w:val="Unresolved Mention"/>
    <w:uiPriority w:val="99"/>
    <w:semiHidden/>
    <w:unhideWhenUsed/>
    <w:rsid w:val="005B6570"/>
    <w:rPr>
      <w:color w:val="605E5C"/>
      <w:shd w:val="clear" w:color="auto" w:fill="E1DFDD"/>
    </w:rPr>
  </w:style>
  <w:style w:type="paragraph" w:customStyle="1" w:styleId="leftaligned">
    <w:name w:val="leftaligned"/>
    <w:basedOn w:val="Normal"/>
    <w:rsid w:val="00F571DF"/>
    <w:pPr>
      <w:spacing w:after="428"/>
    </w:pPr>
  </w:style>
  <w:style w:type="paragraph" w:customStyle="1" w:styleId="Subhead">
    <w:name w:val="Subhead"/>
    <w:basedOn w:val="Heading3"/>
    <w:qFormat/>
    <w:rsid w:val="00C53F0B"/>
    <w:pPr>
      <w:spacing w:before="0" w:after="0"/>
      <w:jc w:val="center"/>
    </w:pPr>
    <w:rPr>
      <w:rFonts w:ascii="Times New Roman" w:eastAsia="Times" w:hAnsi="Times New Roman" w:cs="Times New Roman"/>
      <w:bCs w:val="0"/>
      <w:color w:val="4F2F18"/>
      <w:sz w:val="24"/>
      <w:szCs w:val="20"/>
      <w:lang w:val="en-US" w:eastAsia="en-US"/>
    </w:rPr>
  </w:style>
  <w:style w:type="character" w:styleId="FollowedHyperlink">
    <w:name w:val="FollowedHyperlink"/>
    <w:rsid w:val="00CE78BD"/>
    <w:rPr>
      <w:color w:val="96607D"/>
      <w:u w:val="single"/>
    </w:rPr>
  </w:style>
  <w:style w:type="paragraph" w:styleId="ListParagraph">
    <w:name w:val="List Paragraph"/>
    <w:basedOn w:val="Normal"/>
    <w:uiPriority w:val="34"/>
    <w:qFormat/>
    <w:rsid w:val="00D80B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6614">
      <w:bodyDiv w:val="1"/>
      <w:marLeft w:val="0"/>
      <w:marRight w:val="0"/>
      <w:marTop w:val="0"/>
      <w:marBottom w:val="0"/>
      <w:divBdr>
        <w:top w:val="none" w:sz="0" w:space="0" w:color="auto"/>
        <w:left w:val="none" w:sz="0" w:space="0" w:color="auto"/>
        <w:bottom w:val="none" w:sz="0" w:space="0" w:color="auto"/>
        <w:right w:val="none" w:sz="0" w:space="0" w:color="auto"/>
      </w:divBdr>
      <w:divsChild>
        <w:div w:id="1148743121">
          <w:marLeft w:val="0"/>
          <w:marRight w:val="0"/>
          <w:marTop w:val="0"/>
          <w:marBottom w:val="0"/>
          <w:divBdr>
            <w:top w:val="none" w:sz="0" w:space="0" w:color="auto"/>
            <w:left w:val="none" w:sz="0" w:space="0" w:color="auto"/>
            <w:bottom w:val="none" w:sz="0" w:space="0" w:color="auto"/>
            <w:right w:val="none" w:sz="0" w:space="0" w:color="auto"/>
          </w:divBdr>
          <w:divsChild>
            <w:div w:id="1135760512">
              <w:marLeft w:val="0"/>
              <w:marRight w:val="0"/>
              <w:marTop w:val="0"/>
              <w:marBottom w:val="0"/>
              <w:divBdr>
                <w:top w:val="none" w:sz="0" w:space="0" w:color="auto"/>
                <w:left w:val="none" w:sz="0" w:space="0" w:color="auto"/>
                <w:bottom w:val="none" w:sz="0" w:space="0" w:color="auto"/>
                <w:right w:val="none" w:sz="0" w:space="0" w:color="auto"/>
              </w:divBdr>
              <w:divsChild>
                <w:div w:id="2117164781">
                  <w:marLeft w:val="0"/>
                  <w:marRight w:val="0"/>
                  <w:marTop w:val="0"/>
                  <w:marBottom w:val="0"/>
                  <w:divBdr>
                    <w:top w:val="none" w:sz="0" w:space="0" w:color="auto"/>
                    <w:left w:val="none" w:sz="0" w:space="0" w:color="auto"/>
                    <w:bottom w:val="none" w:sz="0" w:space="0" w:color="auto"/>
                    <w:right w:val="none" w:sz="0" w:space="0" w:color="auto"/>
                  </w:divBdr>
                  <w:divsChild>
                    <w:div w:id="17321756">
                      <w:marLeft w:val="0"/>
                      <w:marRight w:val="0"/>
                      <w:marTop w:val="143"/>
                      <w:marBottom w:val="2"/>
                      <w:divBdr>
                        <w:top w:val="none" w:sz="0" w:space="0" w:color="auto"/>
                        <w:left w:val="none" w:sz="0" w:space="0" w:color="auto"/>
                        <w:bottom w:val="none" w:sz="0" w:space="0" w:color="auto"/>
                        <w:right w:val="none" w:sz="0" w:space="0" w:color="auto"/>
                      </w:divBdr>
                      <w:divsChild>
                        <w:div w:id="168494904">
                          <w:marLeft w:val="0"/>
                          <w:marRight w:val="0"/>
                          <w:marTop w:val="0"/>
                          <w:marBottom w:val="0"/>
                          <w:divBdr>
                            <w:top w:val="none" w:sz="0" w:space="0" w:color="auto"/>
                            <w:left w:val="none" w:sz="0" w:space="0" w:color="auto"/>
                            <w:bottom w:val="none" w:sz="0" w:space="0" w:color="auto"/>
                            <w:right w:val="none" w:sz="0" w:space="0" w:color="auto"/>
                          </w:divBdr>
                          <w:divsChild>
                            <w:div w:id="1438059484">
                              <w:marLeft w:val="0"/>
                              <w:marRight w:val="0"/>
                              <w:marTop w:val="0"/>
                              <w:marBottom w:val="0"/>
                              <w:divBdr>
                                <w:top w:val="none" w:sz="0" w:space="0" w:color="auto"/>
                                <w:left w:val="none" w:sz="0" w:space="0" w:color="auto"/>
                                <w:bottom w:val="none" w:sz="0" w:space="0" w:color="auto"/>
                                <w:right w:val="none" w:sz="0" w:space="0" w:color="auto"/>
                              </w:divBdr>
                              <w:divsChild>
                                <w:div w:id="2124494917">
                                  <w:marLeft w:val="0"/>
                                  <w:marRight w:val="0"/>
                                  <w:marTop w:val="0"/>
                                  <w:marBottom w:val="0"/>
                                  <w:divBdr>
                                    <w:top w:val="none" w:sz="0" w:space="0" w:color="auto"/>
                                    <w:left w:val="none" w:sz="0" w:space="0" w:color="auto"/>
                                    <w:bottom w:val="none" w:sz="0" w:space="0" w:color="auto"/>
                                    <w:right w:val="none" w:sz="0" w:space="0" w:color="auto"/>
                                  </w:divBdr>
                                  <w:divsChild>
                                    <w:div w:id="15935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46182">
      <w:bodyDiv w:val="1"/>
      <w:marLeft w:val="0"/>
      <w:marRight w:val="0"/>
      <w:marTop w:val="0"/>
      <w:marBottom w:val="0"/>
      <w:divBdr>
        <w:top w:val="none" w:sz="0" w:space="0" w:color="auto"/>
        <w:left w:val="none" w:sz="0" w:space="0" w:color="auto"/>
        <w:bottom w:val="none" w:sz="0" w:space="0" w:color="auto"/>
        <w:right w:val="none" w:sz="0" w:space="0" w:color="auto"/>
      </w:divBdr>
      <w:divsChild>
        <w:div w:id="2046903685">
          <w:marLeft w:val="0"/>
          <w:marRight w:val="0"/>
          <w:marTop w:val="0"/>
          <w:marBottom w:val="0"/>
          <w:divBdr>
            <w:top w:val="none" w:sz="0" w:space="0" w:color="auto"/>
            <w:left w:val="none" w:sz="0" w:space="0" w:color="auto"/>
            <w:bottom w:val="none" w:sz="0" w:space="0" w:color="auto"/>
            <w:right w:val="none" w:sz="0" w:space="0" w:color="auto"/>
          </w:divBdr>
          <w:divsChild>
            <w:div w:id="1761215164">
              <w:marLeft w:val="0"/>
              <w:marRight w:val="0"/>
              <w:marTop w:val="0"/>
              <w:marBottom w:val="0"/>
              <w:divBdr>
                <w:top w:val="none" w:sz="0" w:space="0" w:color="auto"/>
                <w:left w:val="none" w:sz="0" w:space="0" w:color="auto"/>
                <w:bottom w:val="none" w:sz="0" w:space="0" w:color="auto"/>
                <w:right w:val="none" w:sz="0" w:space="0" w:color="auto"/>
              </w:divBdr>
              <w:divsChild>
                <w:div w:id="2041540428">
                  <w:marLeft w:val="0"/>
                  <w:marRight w:val="0"/>
                  <w:marTop w:val="0"/>
                  <w:marBottom w:val="0"/>
                  <w:divBdr>
                    <w:top w:val="none" w:sz="0" w:space="0" w:color="auto"/>
                    <w:left w:val="none" w:sz="0" w:space="0" w:color="auto"/>
                    <w:bottom w:val="none" w:sz="0" w:space="0" w:color="auto"/>
                    <w:right w:val="none" w:sz="0" w:space="0" w:color="auto"/>
                  </w:divBdr>
                  <w:divsChild>
                    <w:div w:id="589587416">
                      <w:marLeft w:val="0"/>
                      <w:marRight w:val="0"/>
                      <w:marTop w:val="143"/>
                      <w:marBottom w:val="2"/>
                      <w:divBdr>
                        <w:top w:val="none" w:sz="0" w:space="0" w:color="auto"/>
                        <w:left w:val="none" w:sz="0" w:space="0" w:color="auto"/>
                        <w:bottom w:val="none" w:sz="0" w:space="0" w:color="auto"/>
                        <w:right w:val="none" w:sz="0" w:space="0" w:color="auto"/>
                      </w:divBdr>
                      <w:divsChild>
                        <w:div w:id="1276711815">
                          <w:marLeft w:val="0"/>
                          <w:marRight w:val="0"/>
                          <w:marTop w:val="0"/>
                          <w:marBottom w:val="0"/>
                          <w:divBdr>
                            <w:top w:val="none" w:sz="0" w:space="0" w:color="auto"/>
                            <w:left w:val="none" w:sz="0" w:space="0" w:color="auto"/>
                            <w:bottom w:val="none" w:sz="0" w:space="0" w:color="auto"/>
                            <w:right w:val="none" w:sz="0" w:space="0" w:color="auto"/>
                          </w:divBdr>
                          <w:divsChild>
                            <w:div w:id="744958731">
                              <w:marLeft w:val="0"/>
                              <w:marRight w:val="0"/>
                              <w:marTop w:val="0"/>
                              <w:marBottom w:val="0"/>
                              <w:divBdr>
                                <w:top w:val="none" w:sz="0" w:space="0" w:color="auto"/>
                                <w:left w:val="none" w:sz="0" w:space="0" w:color="auto"/>
                                <w:bottom w:val="none" w:sz="0" w:space="0" w:color="auto"/>
                                <w:right w:val="none" w:sz="0" w:space="0" w:color="auto"/>
                              </w:divBdr>
                              <w:divsChild>
                                <w:div w:id="776682174">
                                  <w:marLeft w:val="0"/>
                                  <w:marRight w:val="0"/>
                                  <w:marTop w:val="0"/>
                                  <w:marBottom w:val="0"/>
                                  <w:divBdr>
                                    <w:top w:val="none" w:sz="0" w:space="0" w:color="auto"/>
                                    <w:left w:val="none" w:sz="0" w:space="0" w:color="auto"/>
                                    <w:bottom w:val="none" w:sz="0" w:space="0" w:color="auto"/>
                                    <w:right w:val="none" w:sz="0" w:space="0" w:color="auto"/>
                                  </w:divBdr>
                                  <w:divsChild>
                                    <w:div w:id="9272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332567">
      <w:bodyDiv w:val="1"/>
      <w:marLeft w:val="0"/>
      <w:marRight w:val="0"/>
      <w:marTop w:val="0"/>
      <w:marBottom w:val="0"/>
      <w:divBdr>
        <w:top w:val="none" w:sz="0" w:space="0" w:color="auto"/>
        <w:left w:val="none" w:sz="0" w:space="0" w:color="auto"/>
        <w:bottom w:val="none" w:sz="0" w:space="0" w:color="auto"/>
        <w:right w:val="none" w:sz="0" w:space="0" w:color="auto"/>
      </w:divBdr>
      <w:divsChild>
        <w:div w:id="1579049235">
          <w:marLeft w:val="0"/>
          <w:marRight w:val="0"/>
          <w:marTop w:val="0"/>
          <w:marBottom w:val="0"/>
          <w:divBdr>
            <w:top w:val="none" w:sz="0" w:space="0" w:color="auto"/>
            <w:left w:val="none" w:sz="0" w:space="0" w:color="auto"/>
            <w:bottom w:val="none" w:sz="0" w:space="0" w:color="auto"/>
            <w:right w:val="none" w:sz="0" w:space="0" w:color="auto"/>
          </w:divBdr>
          <w:divsChild>
            <w:div w:id="607348912">
              <w:marLeft w:val="0"/>
              <w:marRight w:val="0"/>
              <w:marTop w:val="0"/>
              <w:marBottom w:val="0"/>
              <w:divBdr>
                <w:top w:val="none" w:sz="0" w:space="0" w:color="auto"/>
                <w:left w:val="none" w:sz="0" w:space="0" w:color="auto"/>
                <w:bottom w:val="none" w:sz="0" w:space="0" w:color="auto"/>
                <w:right w:val="none" w:sz="0" w:space="0" w:color="auto"/>
              </w:divBdr>
              <w:divsChild>
                <w:div w:id="222644106">
                  <w:marLeft w:val="0"/>
                  <w:marRight w:val="0"/>
                  <w:marTop w:val="0"/>
                  <w:marBottom w:val="0"/>
                  <w:divBdr>
                    <w:top w:val="none" w:sz="0" w:space="0" w:color="auto"/>
                    <w:left w:val="none" w:sz="0" w:space="0" w:color="auto"/>
                    <w:bottom w:val="none" w:sz="0" w:space="0" w:color="auto"/>
                    <w:right w:val="none" w:sz="0" w:space="0" w:color="auto"/>
                  </w:divBdr>
                  <w:divsChild>
                    <w:div w:id="1474983491">
                      <w:marLeft w:val="0"/>
                      <w:marRight w:val="0"/>
                      <w:marTop w:val="143"/>
                      <w:marBottom w:val="2"/>
                      <w:divBdr>
                        <w:top w:val="none" w:sz="0" w:space="0" w:color="auto"/>
                        <w:left w:val="none" w:sz="0" w:space="0" w:color="auto"/>
                        <w:bottom w:val="none" w:sz="0" w:space="0" w:color="auto"/>
                        <w:right w:val="none" w:sz="0" w:space="0" w:color="auto"/>
                      </w:divBdr>
                      <w:divsChild>
                        <w:div w:id="1144355377">
                          <w:marLeft w:val="0"/>
                          <w:marRight w:val="0"/>
                          <w:marTop w:val="0"/>
                          <w:marBottom w:val="0"/>
                          <w:divBdr>
                            <w:top w:val="none" w:sz="0" w:space="0" w:color="auto"/>
                            <w:left w:val="none" w:sz="0" w:space="0" w:color="auto"/>
                            <w:bottom w:val="none" w:sz="0" w:space="0" w:color="auto"/>
                            <w:right w:val="none" w:sz="0" w:space="0" w:color="auto"/>
                          </w:divBdr>
                          <w:divsChild>
                            <w:div w:id="138156806">
                              <w:marLeft w:val="0"/>
                              <w:marRight w:val="0"/>
                              <w:marTop w:val="0"/>
                              <w:marBottom w:val="0"/>
                              <w:divBdr>
                                <w:top w:val="none" w:sz="0" w:space="0" w:color="auto"/>
                                <w:left w:val="none" w:sz="0" w:space="0" w:color="auto"/>
                                <w:bottom w:val="none" w:sz="0" w:space="0" w:color="auto"/>
                                <w:right w:val="none" w:sz="0" w:space="0" w:color="auto"/>
                              </w:divBdr>
                              <w:divsChild>
                                <w:div w:id="561792605">
                                  <w:marLeft w:val="0"/>
                                  <w:marRight w:val="0"/>
                                  <w:marTop w:val="0"/>
                                  <w:marBottom w:val="0"/>
                                  <w:divBdr>
                                    <w:top w:val="none" w:sz="0" w:space="0" w:color="auto"/>
                                    <w:left w:val="none" w:sz="0" w:space="0" w:color="auto"/>
                                    <w:bottom w:val="none" w:sz="0" w:space="0" w:color="auto"/>
                                    <w:right w:val="none" w:sz="0" w:space="0" w:color="auto"/>
                                  </w:divBdr>
                                  <w:divsChild>
                                    <w:div w:id="2954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75997">
      <w:bodyDiv w:val="1"/>
      <w:marLeft w:val="0"/>
      <w:marRight w:val="0"/>
      <w:marTop w:val="0"/>
      <w:marBottom w:val="0"/>
      <w:divBdr>
        <w:top w:val="none" w:sz="0" w:space="0" w:color="auto"/>
        <w:left w:val="none" w:sz="0" w:space="0" w:color="auto"/>
        <w:bottom w:val="none" w:sz="0" w:space="0" w:color="auto"/>
        <w:right w:val="none" w:sz="0" w:space="0" w:color="auto"/>
      </w:divBdr>
      <w:divsChild>
        <w:div w:id="436484816">
          <w:marLeft w:val="0"/>
          <w:marRight w:val="0"/>
          <w:marTop w:val="0"/>
          <w:marBottom w:val="0"/>
          <w:divBdr>
            <w:top w:val="none" w:sz="0" w:space="0" w:color="auto"/>
            <w:left w:val="none" w:sz="0" w:space="0" w:color="auto"/>
            <w:bottom w:val="none" w:sz="0" w:space="0" w:color="auto"/>
            <w:right w:val="none" w:sz="0" w:space="0" w:color="auto"/>
          </w:divBdr>
          <w:divsChild>
            <w:div w:id="1118986401">
              <w:marLeft w:val="0"/>
              <w:marRight w:val="0"/>
              <w:marTop w:val="0"/>
              <w:marBottom w:val="0"/>
              <w:divBdr>
                <w:top w:val="none" w:sz="0" w:space="0" w:color="auto"/>
                <w:left w:val="none" w:sz="0" w:space="0" w:color="auto"/>
                <w:bottom w:val="none" w:sz="0" w:space="0" w:color="auto"/>
                <w:right w:val="none" w:sz="0" w:space="0" w:color="auto"/>
              </w:divBdr>
              <w:divsChild>
                <w:div w:id="352270038">
                  <w:marLeft w:val="0"/>
                  <w:marRight w:val="0"/>
                  <w:marTop w:val="0"/>
                  <w:marBottom w:val="0"/>
                  <w:divBdr>
                    <w:top w:val="none" w:sz="0" w:space="0" w:color="auto"/>
                    <w:left w:val="none" w:sz="0" w:space="0" w:color="auto"/>
                    <w:bottom w:val="none" w:sz="0" w:space="0" w:color="auto"/>
                    <w:right w:val="none" w:sz="0" w:space="0" w:color="auto"/>
                  </w:divBdr>
                  <w:divsChild>
                    <w:div w:id="282463981">
                      <w:marLeft w:val="0"/>
                      <w:marRight w:val="0"/>
                      <w:marTop w:val="143"/>
                      <w:marBottom w:val="2"/>
                      <w:divBdr>
                        <w:top w:val="none" w:sz="0" w:space="0" w:color="auto"/>
                        <w:left w:val="none" w:sz="0" w:space="0" w:color="auto"/>
                        <w:bottom w:val="none" w:sz="0" w:space="0" w:color="auto"/>
                        <w:right w:val="none" w:sz="0" w:space="0" w:color="auto"/>
                      </w:divBdr>
                      <w:divsChild>
                        <w:div w:id="115099820">
                          <w:marLeft w:val="0"/>
                          <w:marRight w:val="0"/>
                          <w:marTop w:val="0"/>
                          <w:marBottom w:val="0"/>
                          <w:divBdr>
                            <w:top w:val="none" w:sz="0" w:space="0" w:color="auto"/>
                            <w:left w:val="none" w:sz="0" w:space="0" w:color="auto"/>
                            <w:bottom w:val="none" w:sz="0" w:space="0" w:color="auto"/>
                            <w:right w:val="none" w:sz="0" w:space="0" w:color="auto"/>
                          </w:divBdr>
                          <w:divsChild>
                            <w:div w:id="87236193">
                              <w:marLeft w:val="0"/>
                              <w:marRight w:val="0"/>
                              <w:marTop w:val="0"/>
                              <w:marBottom w:val="0"/>
                              <w:divBdr>
                                <w:top w:val="none" w:sz="0" w:space="0" w:color="auto"/>
                                <w:left w:val="none" w:sz="0" w:space="0" w:color="auto"/>
                                <w:bottom w:val="none" w:sz="0" w:space="0" w:color="auto"/>
                                <w:right w:val="none" w:sz="0" w:space="0" w:color="auto"/>
                              </w:divBdr>
                              <w:divsChild>
                                <w:div w:id="1853373027">
                                  <w:marLeft w:val="0"/>
                                  <w:marRight w:val="0"/>
                                  <w:marTop w:val="0"/>
                                  <w:marBottom w:val="0"/>
                                  <w:divBdr>
                                    <w:top w:val="none" w:sz="0" w:space="0" w:color="auto"/>
                                    <w:left w:val="none" w:sz="0" w:space="0" w:color="auto"/>
                                    <w:bottom w:val="none" w:sz="0" w:space="0" w:color="auto"/>
                                    <w:right w:val="none" w:sz="0" w:space="0" w:color="auto"/>
                                  </w:divBdr>
                                  <w:divsChild>
                                    <w:div w:id="744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169568">
      <w:bodyDiv w:val="1"/>
      <w:marLeft w:val="0"/>
      <w:marRight w:val="0"/>
      <w:marTop w:val="0"/>
      <w:marBottom w:val="0"/>
      <w:divBdr>
        <w:top w:val="none" w:sz="0" w:space="0" w:color="auto"/>
        <w:left w:val="none" w:sz="0" w:space="0" w:color="auto"/>
        <w:bottom w:val="none" w:sz="0" w:space="0" w:color="auto"/>
        <w:right w:val="none" w:sz="0" w:space="0" w:color="auto"/>
      </w:divBdr>
    </w:div>
    <w:div w:id="1990671344">
      <w:bodyDiv w:val="1"/>
      <w:marLeft w:val="0"/>
      <w:marRight w:val="0"/>
      <w:marTop w:val="0"/>
      <w:marBottom w:val="0"/>
      <w:divBdr>
        <w:top w:val="none" w:sz="0" w:space="0" w:color="auto"/>
        <w:left w:val="none" w:sz="0" w:space="0" w:color="auto"/>
        <w:bottom w:val="none" w:sz="0" w:space="0" w:color="auto"/>
        <w:right w:val="none" w:sz="0" w:space="0" w:color="auto"/>
      </w:divBdr>
      <w:divsChild>
        <w:div w:id="1574050007">
          <w:marLeft w:val="0"/>
          <w:marRight w:val="0"/>
          <w:marTop w:val="0"/>
          <w:marBottom w:val="0"/>
          <w:divBdr>
            <w:top w:val="none" w:sz="0" w:space="0" w:color="auto"/>
            <w:left w:val="none" w:sz="0" w:space="0" w:color="auto"/>
            <w:bottom w:val="none" w:sz="0" w:space="0" w:color="auto"/>
            <w:right w:val="none" w:sz="0" w:space="0" w:color="auto"/>
          </w:divBdr>
          <w:divsChild>
            <w:div w:id="808403224">
              <w:marLeft w:val="0"/>
              <w:marRight w:val="0"/>
              <w:marTop w:val="0"/>
              <w:marBottom w:val="0"/>
              <w:divBdr>
                <w:top w:val="none" w:sz="0" w:space="0" w:color="auto"/>
                <w:left w:val="none" w:sz="0" w:space="0" w:color="auto"/>
                <w:bottom w:val="none" w:sz="0" w:space="0" w:color="auto"/>
                <w:right w:val="none" w:sz="0" w:space="0" w:color="auto"/>
              </w:divBdr>
            </w:div>
            <w:div w:id="1768116579">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Tamworth Borough Council</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juliag</dc:creator>
  <cp:keywords/>
  <dc:description/>
  <cp:lastModifiedBy>Podmore,Helen</cp:lastModifiedBy>
  <cp:revision>3</cp:revision>
  <cp:lastPrinted>2016-04-22T17:42:00Z</cp:lastPrinted>
  <dcterms:created xsi:type="dcterms:W3CDTF">2024-08-28T09:54:00Z</dcterms:created>
  <dcterms:modified xsi:type="dcterms:W3CDTF">2024-08-28T09:55:00Z</dcterms:modified>
</cp:coreProperties>
</file>